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20" w:rsidRDefault="00DD6620" w:rsidP="00DD6620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36615" cy="2060575"/>
            <wp:effectExtent l="19050" t="0" r="6985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85F" w:rsidRPr="001025E2" w:rsidRDefault="00CF25BC" w:rsidP="009C78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64DED">
        <w:rPr>
          <w:rFonts w:ascii="Times New Roman" w:hAnsi="Times New Roman" w:cs="Times New Roman"/>
          <w:sz w:val="24"/>
          <w:szCs w:val="24"/>
          <w:lang w:val="uk-UA"/>
        </w:rPr>
        <w:t xml:space="preserve"> 20.02.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2019 №</w:t>
      </w:r>
      <w:r w:rsidR="00F64DED">
        <w:rPr>
          <w:rFonts w:ascii="Times New Roman" w:hAnsi="Times New Roman" w:cs="Times New Roman"/>
          <w:sz w:val="24"/>
          <w:szCs w:val="24"/>
          <w:lang w:val="uk-UA"/>
        </w:rPr>
        <w:t>56</w:t>
      </w:r>
    </w:p>
    <w:p w:rsidR="00CF25BC" w:rsidRPr="001025E2" w:rsidRDefault="00CF25BC" w:rsidP="009C78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32C6" w:rsidRPr="001025E2" w:rsidRDefault="009C785F" w:rsidP="009632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2C6" w:rsidRPr="001025E2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DD6620" w:rsidRPr="001025E2">
        <w:rPr>
          <w:rFonts w:ascii="Times New Roman" w:hAnsi="Times New Roman"/>
          <w:sz w:val="24"/>
          <w:szCs w:val="24"/>
          <w:lang w:val="uk-UA"/>
        </w:rPr>
        <w:t xml:space="preserve">погодження </w:t>
      </w:r>
      <w:r w:rsidR="009632C6" w:rsidRPr="001025E2">
        <w:rPr>
          <w:rFonts w:ascii="Times New Roman" w:hAnsi="Times New Roman"/>
          <w:sz w:val="24"/>
          <w:szCs w:val="24"/>
          <w:lang w:val="uk-UA"/>
        </w:rPr>
        <w:t>Програм</w:t>
      </w:r>
      <w:r w:rsidR="00DD6620" w:rsidRPr="001025E2">
        <w:rPr>
          <w:rFonts w:ascii="Times New Roman" w:hAnsi="Times New Roman"/>
          <w:sz w:val="24"/>
          <w:szCs w:val="24"/>
          <w:lang w:val="uk-UA"/>
        </w:rPr>
        <w:t>и</w:t>
      </w:r>
      <w:r w:rsidR="009632C6" w:rsidRPr="001025E2">
        <w:rPr>
          <w:rFonts w:ascii="Times New Roman" w:hAnsi="Times New Roman"/>
          <w:sz w:val="24"/>
          <w:szCs w:val="24"/>
          <w:lang w:val="uk-UA"/>
        </w:rPr>
        <w:t xml:space="preserve"> підтримки </w:t>
      </w:r>
    </w:p>
    <w:p w:rsidR="009632C6" w:rsidRPr="001025E2" w:rsidRDefault="009632C6" w:rsidP="009632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1025E2">
        <w:rPr>
          <w:rFonts w:ascii="Times New Roman" w:hAnsi="Times New Roman"/>
          <w:sz w:val="24"/>
          <w:szCs w:val="24"/>
          <w:lang w:val="uk-UA"/>
        </w:rPr>
        <w:t>Канівської підстанції Черкаської</w:t>
      </w:r>
    </w:p>
    <w:p w:rsidR="009632C6" w:rsidRPr="001025E2" w:rsidRDefault="009632C6" w:rsidP="009632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1025E2">
        <w:rPr>
          <w:rFonts w:ascii="Times New Roman" w:hAnsi="Times New Roman"/>
          <w:sz w:val="24"/>
          <w:szCs w:val="24"/>
          <w:lang w:val="uk-UA"/>
        </w:rPr>
        <w:t xml:space="preserve"> станції швидкої медичної </w:t>
      </w:r>
    </w:p>
    <w:p w:rsidR="009C785F" w:rsidRPr="001025E2" w:rsidRDefault="009632C6" w:rsidP="009632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1025E2">
        <w:rPr>
          <w:rFonts w:ascii="Times New Roman" w:hAnsi="Times New Roman"/>
          <w:sz w:val="24"/>
          <w:szCs w:val="24"/>
          <w:lang w:val="uk-UA"/>
        </w:rPr>
        <w:t>допомоги на 2019-2020 роки</w:t>
      </w:r>
    </w:p>
    <w:p w:rsidR="009632C6" w:rsidRPr="001025E2" w:rsidRDefault="009632C6" w:rsidP="009632C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785F" w:rsidRPr="001025E2" w:rsidRDefault="009C785F" w:rsidP="009C78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F25BC"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>1 частини 2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статті 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 Про місцеве самоврядування в Україні», враховуючи звернення Головного лікаря Черкаської станції швидкої медичної допомоги та розглянувши проект Програми підтримки Канівської підстанції Черкаської станції медичн</w:t>
      </w:r>
      <w:r w:rsidR="00EC3504" w:rsidRPr="001025E2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допомоги на 2019-2020 роки,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Канівськ</w:t>
      </w:r>
      <w:r w:rsidR="00BA6A6E" w:rsidRPr="001025E2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BA6A6E" w:rsidRPr="001025E2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BA6A6E" w:rsidRPr="001025E2">
        <w:rPr>
          <w:rFonts w:ascii="Times New Roman" w:hAnsi="Times New Roman" w:cs="Times New Roman"/>
          <w:sz w:val="24"/>
          <w:szCs w:val="24"/>
          <w:lang w:val="uk-UA"/>
        </w:rPr>
        <w:t>и</w:t>
      </w:r>
    </w:p>
    <w:p w:rsidR="00CF25BC" w:rsidRPr="001025E2" w:rsidRDefault="00CF25BC" w:rsidP="009C78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785F" w:rsidRPr="001025E2" w:rsidRDefault="009C785F" w:rsidP="009C78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CF25BC" w:rsidRPr="001025E2"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BA6A6E" w:rsidRPr="001025E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F25BC" w:rsidRPr="001025E2" w:rsidRDefault="00CF25BC" w:rsidP="009C785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6620" w:rsidRPr="001025E2" w:rsidRDefault="00DD6620" w:rsidP="00DD6620">
      <w:pPr>
        <w:pStyle w:val="a7"/>
        <w:numPr>
          <w:ilvl w:val="0"/>
          <w:numId w:val="4"/>
        </w:numPr>
        <w:jc w:val="both"/>
        <w:rPr>
          <w:szCs w:val="24"/>
        </w:rPr>
      </w:pPr>
      <w:r w:rsidRPr="001025E2">
        <w:rPr>
          <w:szCs w:val="24"/>
        </w:rPr>
        <w:t xml:space="preserve">Погодити </w:t>
      </w:r>
      <w:r w:rsidR="009C785F" w:rsidRPr="001025E2">
        <w:rPr>
          <w:szCs w:val="24"/>
        </w:rPr>
        <w:t xml:space="preserve">Програму підтримки Канівської підстанції </w:t>
      </w:r>
      <w:r w:rsidR="00673BAC" w:rsidRPr="001025E2">
        <w:rPr>
          <w:szCs w:val="24"/>
        </w:rPr>
        <w:t>Черкаської станції швидкої медичної допомоги на 2019-2020 роки (далі Програма)</w:t>
      </w:r>
      <w:r w:rsidR="00CF25BC" w:rsidRPr="001025E2">
        <w:rPr>
          <w:szCs w:val="24"/>
        </w:rPr>
        <w:t xml:space="preserve"> </w:t>
      </w:r>
      <w:r w:rsidRPr="001025E2">
        <w:rPr>
          <w:szCs w:val="24"/>
        </w:rPr>
        <w:t>згідно з додатком та внести її на чергове пленарне засідання Канівської міської ради для розгляду та затвердження.</w:t>
      </w:r>
    </w:p>
    <w:p w:rsidR="00673BAC" w:rsidRPr="001025E2" w:rsidRDefault="00673BAC" w:rsidP="00DD66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</w:t>
      </w:r>
      <w:r w:rsidR="00CF25BC" w:rsidRPr="001025E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даного рішення </w:t>
      </w:r>
      <w:r w:rsidR="006B4A14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proofErr w:type="spellStart"/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Н.А.</w:t>
      </w:r>
    </w:p>
    <w:p w:rsidR="006B4A14" w:rsidRPr="001025E2" w:rsidRDefault="006B4A14" w:rsidP="006B4A1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4A14" w:rsidRPr="001025E2" w:rsidRDefault="006B4A14" w:rsidP="006B4A1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6620" w:rsidRPr="001025E2" w:rsidRDefault="00DD6620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Виконувач обов’язки</w:t>
      </w:r>
    </w:p>
    <w:p w:rsidR="006B4A14" w:rsidRPr="001025E2" w:rsidRDefault="00DD6620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6B4A14" w:rsidRPr="001025E2">
        <w:rPr>
          <w:rFonts w:ascii="Times New Roman" w:hAnsi="Times New Roman" w:cs="Times New Roman"/>
          <w:sz w:val="24"/>
          <w:szCs w:val="24"/>
          <w:lang w:val="uk-UA"/>
        </w:rPr>
        <w:t>іськ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6B4A14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B4A14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С.С. Ткаченко</w:t>
      </w:r>
    </w:p>
    <w:p w:rsidR="00DD6620" w:rsidRPr="001025E2" w:rsidRDefault="00DD6620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6620" w:rsidRPr="001025E2" w:rsidRDefault="00DD6620" w:rsidP="00DD6620">
      <w:pPr>
        <w:jc w:val="both"/>
        <w:rPr>
          <w:rFonts w:ascii="Times New Roman" w:hAnsi="Times New Roman" w:cs="Times New Roman"/>
          <w:sz w:val="24"/>
          <w:szCs w:val="24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В.І.</w:t>
      </w:r>
      <w:proofErr w:type="spellStart"/>
      <w:r w:rsidRPr="001025E2"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proofErr w:type="spellEnd"/>
    </w:p>
    <w:p w:rsidR="00DD6620" w:rsidRPr="001025E2" w:rsidRDefault="00DD6620" w:rsidP="00DD6620">
      <w:pPr>
        <w:jc w:val="both"/>
        <w:rPr>
          <w:rFonts w:ascii="Times New Roman" w:hAnsi="Times New Roman" w:cs="Times New Roman"/>
          <w:sz w:val="24"/>
          <w:szCs w:val="24"/>
        </w:rPr>
      </w:pPr>
      <w:r w:rsidRPr="001025E2">
        <w:rPr>
          <w:rFonts w:ascii="Times New Roman" w:hAnsi="Times New Roman" w:cs="Times New Roman"/>
          <w:sz w:val="24"/>
          <w:szCs w:val="24"/>
        </w:rPr>
        <w:t>ПОГОДЖЕНО:</w:t>
      </w:r>
    </w:p>
    <w:p w:rsidR="00DD6620" w:rsidRPr="001025E2" w:rsidRDefault="00DD6620" w:rsidP="00DD662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Н.А.</w:t>
      </w:r>
      <w:proofErr w:type="spellStart"/>
      <w:r w:rsidRPr="001025E2">
        <w:rPr>
          <w:rFonts w:ascii="Times New Roman" w:hAnsi="Times New Roman" w:cs="Times New Roman"/>
          <w:sz w:val="24"/>
          <w:szCs w:val="24"/>
          <w:lang w:val="uk-UA"/>
        </w:rPr>
        <w:t>Матінова</w:t>
      </w:r>
      <w:proofErr w:type="spellEnd"/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D6620" w:rsidRPr="001025E2" w:rsidRDefault="00DD6620" w:rsidP="00DD6620">
      <w:pPr>
        <w:pStyle w:val="1"/>
        <w:jc w:val="left"/>
        <w:rPr>
          <w:szCs w:val="24"/>
          <w:lang w:val="uk-UA"/>
        </w:rPr>
      </w:pPr>
      <w:r w:rsidRPr="001025E2">
        <w:rPr>
          <w:szCs w:val="24"/>
          <w:lang w:val="uk-UA"/>
        </w:rPr>
        <w:t>Начальник юридичного відділу</w:t>
      </w:r>
      <w:r w:rsidRPr="001025E2">
        <w:rPr>
          <w:szCs w:val="24"/>
          <w:lang w:val="uk-UA"/>
        </w:rPr>
        <w:tab/>
      </w:r>
      <w:r w:rsidRPr="001025E2">
        <w:rPr>
          <w:szCs w:val="24"/>
          <w:lang w:val="uk-UA"/>
        </w:rPr>
        <w:tab/>
      </w:r>
      <w:r w:rsidRPr="001025E2">
        <w:rPr>
          <w:szCs w:val="24"/>
          <w:lang w:val="uk-UA"/>
        </w:rPr>
        <w:tab/>
        <w:t xml:space="preserve">     </w:t>
      </w:r>
      <w:r w:rsidRPr="001025E2">
        <w:rPr>
          <w:szCs w:val="24"/>
          <w:lang w:val="uk-UA"/>
        </w:rPr>
        <w:tab/>
      </w:r>
      <w:r w:rsidRPr="001025E2">
        <w:rPr>
          <w:szCs w:val="24"/>
          <w:lang w:val="uk-UA"/>
        </w:rPr>
        <w:tab/>
      </w:r>
      <w:r w:rsidRPr="001025E2">
        <w:rPr>
          <w:szCs w:val="24"/>
          <w:lang w:val="uk-UA"/>
        </w:rPr>
        <w:tab/>
        <w:t>Н.О.Лісова</w:t>
      </w:r>
    </w:p>
    <w:p w:rsidR="00DD6620" w:rsidRPr="001025E2" w:rsidRDefault="00DD6620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025E2">
        <w:rPr>
          <w:rFonts w:ascii="Times New Roman" w:hAnsi="Times New Roman" w:cs="Times New Roman"/>
          <w:sz w:val="24"/>
          <w:szCs w:val="24"/>
          <w:lang w:val="uk-UA"/>
        </w:rPr>
        <w:t>Москалець</w:t>
      </w:r>
      <w:proofErr w:type="spellEnd"/>
    </w:p>
    <w:p w:rsidR="00CF25BC" w:rsidRPr="001025E2" w:rsidRDefault="00CF25BC" w:rsidP="006B4A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33364</w:t>
      </w:r>
    </w:p>
    <w:p w:rsidR="00CF25BC" w:rsidRPr="001025E2" w:rsidRDefault="00CF25BC" w:rsidP="00DD662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  Додаток до рішення </w:t>
      </w:r>
    </w:p>
    <w:p w:rsidR="00DD6620" w:rsidRPr="001025E2" w:rsidRDefault="00CF25BC" w:rsidP="00CF25BC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CF25BC" w:rsidRPr="001025E2" w:rsidRDefault="00DD6620" w:rsidP="00CF25BC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25BC" w:rsidRPr="001025E2">
        <w:rPr>
          <w:rFonts w:ascii="Times New Roman" w:hAnsi="Times New Roman" w:cs="Times New Roman"/>
          <w:sz w:val="24"/>
          <w:szCs w:val="24"/>
          <w:lang w:val="uk-UA"/>
        </w:rPr>
        <w:t>Канівської міської ради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 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2019 №</w:t>
      </w:r>
      <w:r w:rsidR="00DD6620" w:rsidRPr="001025E2"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b/>
          <w:sz w:val="24"/>
          <w:szCs w:val="24"/>
          <w:lang w:val="uk-UA"/>
        </w:rPr>
        <w:t>Програма</w:t>
      </w:r>
    </w:p>
    <w:p w:rsidR="00CF25BC" w:rsidRPr="001025E2" w:rsidRDefault="009632C6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</w:t>
      </w:r>
      <w:r w:rsidR="00CF25BC" w:rsidRPr="001025E2">
        <w:rPr>
          <w:rFonts w:ascii="Times New Roman" w:hAnsi="Times New Roman" w:cs="Times New Roman"/>
          <w:b/>
          <w:sz w:val="24"/>
          <w:szCs w:val="24"/>
          <w:lang w:val="uk-UA"/>
        </w:rPr>
        <w:t>ідтримки Канівської підстанції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b/>
          <w:sz w:val="24"/>
          <w:szCs w:val="24"/>
          <w:lang w:val="uk-UA"/>
        </w:rPr>
        <w:t>Черкаської станції швидкої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b/>
          <w:sz w:val="24"/>
          <w:szCs w:val="24"/>
          <w:lang w:val="uk-UA"/>
        </w:rPr>
        <w:t>медичної допомоги.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1. Загальні положення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В умовах реформування медичної галузі відбувся розподіл в частині надання медичної допомоги населенню.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При цьому екстре</w:t>
      </w:r>
      <w:r w:rsidR="00C31D8A" w:rsidRPr="001025E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BA6A6E" w:rsidRPr="001025E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допомога надається спеціалістами станцій швидкої  допомоги які виділені в окремі юридичні особи на рівні обласних центрів.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На рівні районів та міст обласного значення працюють відокремлені підрозділи підстанції швидкої допомоги.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Утримання цих підрозділів здійснюється з центральних офісів, які не завжди оперативно р</w:t>
      </w:r>
      <w:r w:rsidR="00C31D8A" w:rsidRPr="001025E2">
        <w:rPr>
          <w:rFonts w:ascii="Times New Roman" w:hAnsi="Times New Roman" w:cs="Times New Roman"/>
          <w:sz w:val="24"/>
          <w:szCs w:val="24"/>
          <w:lang w:val="uk-UA"/>
        </w:rPr>
        <w:t>еагують на потреби спеціалістів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базових рівнів.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Програма підтримки Канівської підстанції Черкаської станції швидкої медичної допомоги ( далі Програма) є кроком міської влади у напрямку спільного пошуку разом з державою можливостей по поліпшенню надання екстреної медичної допомоги жителям Канівської міської об’єднаної територіальної громади.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2. Мета та основні завдання   Програми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2.1. Створення юридичних підстав для</w:t>
      </w:r>
      <w:r w:rsidR="00C31D8A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залучення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ресурсів територіальної громади на поліпшення матеріальної бази Канівської підстанції Черкаської станції швидкої медичної допомоги.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2.2. Систематичне оновлення засобів зв’язку та реєстрації викликів бригад швидкої медичної допомоги в приміщені Канівської підстанції.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2.3. Створення ко</w:t>
      </w:r>
      <w:r w:rsidR="00EC3504" w:rsidRPr="001025E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фортних умов для чергування та відпочинку працівників Канівської підстанції швидкої медичної допомоги.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2.4.</w:t>
      </w:r>
      <w:r w:rsidR="00EC3504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Забе</w:t>
      </w:r>
      <w:r w:rsidR="00EC3504" w:rsidRPr="001025E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>печення безперебійного надання екстреної медичної допомоги мешканцям Канівської міської об’єднаної територіальної громади.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3. Очікувані результати виконання Програми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3.1. Укріплення партнерських </w:t>
      </w:r>
      <w:r w:rsidR="00C31D8A" w:rsidRPr="001025E2">
        <w:rPr>
          <w:rFonts w:ascii="Times New Roman" w:hAnsi="Times New Roman" w:cs="Times New Roman"/>
          <w:sz w:val="24"/>
          <w:szCs w:val="24"/>
          <w:lang w:val="uk-UA"/>
        </w:rPr>
        <w:t>відносин між центральним офісом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Черкаської станції швидкої медичної допомоги та владою Канівської міської об’єднаної територіальної громади, що базуються на основі солідарної відповідальності за роботу Канівської підстанції швидкої медичної допомоги.</w:t>
      </w:r>
    </w:p>
    <w:p w:rsidR="00CF25BC" w:rsidRPr="001025E2" w:rsidRDefault="00CF25BC" w:rsidP="00C31D8A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3.2. Підвищення результативності виконавчих органів місцевого самоврядування по вдосконаленню якості медичних послуг в межах Канівської міської об’єднаної територіальної громади.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4. Фінансове забезпечення Програми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Програма фінансується у межах коштів, передбачених у міському бюджеті Канева на відповідні роки, згідно « Заходів реалізації Програми».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5E2" w:rsidRDefault="001025E2" w:rsidP="001025E2">
      <w:pPr>
        <w:pStyle w:val="a3"/>
        <w:tabs>
          <w:tab w:val="left" w:pos="6015"/>
          <w:tab w:val="left" w:pos="6135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3D406A" w:rsidP="003D406A">
      <w:pPr>
        <w:pStyle w:val="a3"/>
        <w:tabs>
          <w:tab w:val="left" w:pos="6135"/>
        </w:tabs>
        <w:ind w:left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5. За</w:t>
      </w:r>
      <w:r w:rsidR="00CF25BC" w:rsidRPr="001025E2">
        <w:rPr>
          <w:rFonts w:ascii="Times New Roman" w:hAnsi="Times New Roman" w:cs="Times New Roman"/>
          <w:sz w:val="24"/>
          <w:szCs w:val="24"/>
          <w:lang w:val="uk-UA"/>
        </w:rPr>
        <w:t>ходи реалізації Програми підтримки Канівської підстанції</w:t>
      </w:r>
    </w:p>
    <w:p w:rsidR="00CF25BC" w:rsidRPr="001025E2" w:rsidRDefault="00CF25BC" w:rsidP="003D406A">
      <w:pPr>
        <w:pStyle w:val="a3"/>
        <w:tabs>
          <w:tab w:val="left" w:pos="6135"/>
        </w:tabs>
        <w:ind w:left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Черкаської станції швидкої допомоги.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34"/>
        <w:gridCol w:w="1701"/>
        <w:gridCol w:w="1417"/>
        <w:gridCol w:w="1132"/>
        <w:gridCol w:w="1196"/>
        <w:gridCol w:w="1197"/>
        <w:gridCol w:w="1153"/>
        <w:gridCol w:w="1241"/>
      </w:tblGrid>
      <w:tr w:rsidR="00F30DD7" w:rsidRPr="001025E2" w:rsidTr="00F30DD7">
        <w:tc>
          <w:tcPr>
            <w:tcW w:w="534" w:type="dxa"/>
            <w:vMerge w:val="restart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417" w:type="dxa"/>
            <w:vMerge w:val="restart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132" w:type="dxa"/>
            <w:vMerge w:val="restart"/>
          </w:tcPr>
          <w:p w:rsidR="00F30DD7" w:rsidRPr="001025E2" w:rsidRDefault="00F30DD7" w:rsidP="00F30DD7">
            <w:pPr>
              <w:pStyle w:val="a3"/>
              <w:tabs>
                <w:tab w:val="left" w:pos="6015"/>
                <w:tab w:val="left" w:pos="6135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виконання, роки</w:t>
            </w:r>
          </w:p>
        </w:tc>
        <w:tc>
          <w:tcPr>
            <w:tcW w:w="3546" w:type="dxa"/>
            <w:gridSpan w:val="3"/>
          </w:tcPr>
          <w:p w:rsidR="00F30DD7" w:rsidRPr="001025E2" w:rsidRDefault="00F30DD7" w:rsidP="00EC3504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Орієнтовний обсяг та джерела фінансування на рік, </w:t>
            </w:r>
            <w:proofErr w:type="spellStart"/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41" w:type="dxa"/>
            <w:vMerge w:val="restart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F30DD7" w:rsidRPr="001025E2" w:rsidTr="00F30DD7">
        <w:tc>
          <w:tcPr>
            <w:tcW w:w="534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2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6" w:type="dxa"/>
            <w:vMerge w:val="restart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350" w:type="dxa"/>
            <w:gridSpan w:val="2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томі числі</w:t>
            </w:r>
          </w:p>
        </w:tc>
        <w:tc>
          <w:tcPr>
            <w:tcW w:w="1241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30DD7" w:rsidRPr="001025E2" w:rsidTr="00F30DD7">
        <w:tc>
          <w:tcPr>
            <w:tcW w:w="534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2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6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7" w:type="dxa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153" w:type="dxa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241" w:type="dxa"/>
            <w:vMerge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F25BC" w:rsidRPr="001025E2" w:rsidTr="00F30DD7">
        <w:tc>
          <w:tcPr>
            <w:tcW w:w="534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01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запасних частин для ремонту </w:t>
            </w:r>
            <w:proofErr w:type="spellStart"/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спецавтомобілів</w:t>
            </w:r>
            <w:proofErr w:type="spellEnd"/>
          </w:p>
        </w:tc>
        <w:tc>
          <w:tcPr>
            <w:tcW w:w="1417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Канівської міської ради</w:t>
            </w:r>
          </w:p>
        </w:tc>
        <w:tc>
          <w:tcPr>
            <w:tcW w:w="1132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96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197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153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41" w:type="dxa"/>
          </w:tcPr>
          <w:p w:rsidR="00CF25BC" w:rsidRPr="001025E2" w:rsidRDefault="00CF25BC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F25BC" w:rsidRPr="001025E2" w:rsidTr="00F30DD7">
        <w:tc>
          <w:tcPr>
            <w:tcW w:w="534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01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1417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Канівської міської ради</w:t>
            </w:r>
          </w:p>
        </w:tc>
        <w:tc>
          <w:tcPr>
            <w:tcW w:w="1132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96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197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153" w:type="dxa"/>
          </w:tcPr>
          <w:p w:rsidR="00CF25BC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41" w:type="dxa"/>
          </w:tcPr>
          <w:p w:rsidR="00CF25BC" w:rsidRPr="001025E2" w:rsidRDefault="00CF25BC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30DD7" w:rsidRPr="001025E2" w:rsidTr="00F30DD7">
        <w:tc>
          <w:tcPr>
            <w:tcW w:w="534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01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засобів зв’язку та реєстрації</w:t>
            </w:r>
          </w:p>
        </w:tc>
        <w:tc>
          <w:tcPr>
            <w:tcW w:w="1417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Канівської міської ради</w:t>
            </w:r>
          </w:p>
        </w:tc>
        <w:tc>
          <w:tcPr>
            <w:tcW w:w="1132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96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97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53" w:type="dxa"/>
          </w:tcPr>
          <w:p w:rsidR="00606D69" w:rsidRPr="001025E2" w:rsidRDefault="00606D69" w:rsidP="00606D69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606D69" w:rsidRPr="001025E2" w:rsidRDefault="00606D69" w:rsidP="00606D69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606D69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41" w:type="dxa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30DD7" w:rsidRPr="001025E2" w:rsidTr="00F30DD7">
        <w:tc>
          <w:tcPr>
            <w:tcW w:w="534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01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меблів, в тому числі для відпочинку персоналу</w:t>
            </w:r>
          </w:p>
        </w:tc>
        <w:tc>
          <w:tcPr>
            <w:tcW w:w="1417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Канівської міської ради</w:t>
            </w:r>
          </w:p>
        </w:tc>
        <w:tc>
          <w:tcPr>
            <w:tcW w:w="1132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96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97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53" w:type="dxa"/>
          </w:tcPr>
          <w:p w:rsidR="00F30DD7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6D69" w:rsidRPr="001025E2" w:rsidRDefault="00606D69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41" w:type="dxa"/>
          </w:tcPr>
          <w:p w:rsidR="00F30DD7" w:rsidRPr="001025E2" w:rsidRDefault="00F30DD7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25E2" w:rsidRPr="001025E2" w:rsidTr="00F30DD7">
        <w:tc>
          <w:tcPr>
            <w:tcW w:w="534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02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025E2" w:rsidRPr="001025E2" w:rsidRDefault="001025E2" w:rsidP="001025E2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Допомога в придбанні ліків для надання екстреної допомоги</w:t>
            </w:r>
          </w:p>
        </w:tc>
        <w:tc>
          <w:tcPr>
            <w:tcW w:w="1417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Канівської міської ради</w:t>
            </w:r>
          </w:p>
        </w:tc>
        <w:tc>
          <w:tcPr>
            <w:tcW w:w="1132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96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197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53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2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41" w:type="dxa"/>
          </w:tcPr>
          <w:p w:rsidR="001025E2" w:rsidRPr="001025E2" w:rsidRDefault="001025E2" w:rsidP="00CF25BC">
            <w:pPr>
              <w:pStyle w:val="a3"/>
              <w:tabs>
                <w:tab w:val="left" w:pos="6015"/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6.Прикінцеві положення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6.1. Заходи реалізації Програми можуть доповнюватись, виходячи з пропозицій Канівської підстанції швидкої медичної допомоги та можливостей Канівської міської об’єднаної територіальної громади.</w:t>
      </w: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5BC" w:rsidRPr="001025E2" w:rsidRDefault="00CF25BC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6620" w:rsidRPr="001025E2" w:rsidRDefault="00DD6620" w:rsidP="00CF25BC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</w:p>
    <w:p w:rsidR="00CF25BC" w:rsidRPr="001025E2" w:rsidRDefault="00DD6620" w:rsidP="00215C68">
      <w:pPr>
        <w:pStyle w:val="a3"/>
        <w:tabs>
          <w:tab w:val="left" w:pos="6015"/>
          <w:tab w:val="left" w:pos="61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25E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CF25BC"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Pr="001025E2">
        <w:rPr>
          <w:rFonts w:ascii="Times New Roman" w:hAnsi="Times New Roman" w:cs="Times New Roman"/>
          <w:sz w:val="24"/>
          <w:szCs w:val="24"/>
          <w:lang w:val="uk-UA"/>
        </w:rPr>
        <w:t xml:space="preserve">В.І. </w:t>
      </w:r>
      <w:proofErr w:type="spellStart"/>
      <w:r w:rsidRPr="001025E2"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proofErr w:type="spellEnd"/>
    </w:p>
    <w:sectPr w:rsidR="00CF25BC" w:rsidRPr="001025E2" w:rsidSect="00215C6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BF0"/>
    <w:multiLevelType w:val="hybridMultilevel"/>
    <w:tmpl w:val="5936F450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>
    <w:nsid w:val="02E66EF0"/>
    <w:multiLevelType w:val="hybridMultilevel"/>
    <w:tmpl w:val="1C96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1BC5"/>
    <w:multiLevelType w:val="hybridMultilevel"/>
    <w:tmpl w:val="33C8CB46"/>
    <w:lvl w:ilvl="0" w:tplc="6B3C48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E75975"/>
    <w:multiLevelType w:val="hybridMultilevel"/>
    <w:tmpl w:val="69AC5C5A"/>
    <w:lvl w:ilvl="0" w:tplc="0422000F">
      <w:start w:val="1"/>
      <w:numFmt w:val="decimal"/>
      <w:lvlText w:val="%1."/>
      <w:lvlJc w:val="left"/>
      <w:pPr>
        <w:ind w:left="5540" w:hanging="360"/>
      </w:pPr>
    </w:lvl>
    <w:lvl w:ilvl="1" w:tplc="04220019" w:tentative="1">
      <w:start w:val="1"/>
      <w:numFmt w:val="lowerLetter"/>
      <w:lvlText w:val="%2."/>
      <w:lvlJc w:val="left"/>
      <w:pPr>
        <w:ind w:left="6260" w:hanging="360"/>
      </w:pPr>
    </w:lvl>
    <w:lvl w:ilvl="2" w:tplc="0422001B" w:tentative="1">
      <w:start w:val="1"/>
      <w:numFmt w:val="lowerRoman"/>
      <w:lvlText w:val="%3."/>
      <w:lvlJc w:val="right"/>
      <w:pPr>
        <w:ind w:left="6980" w:hanging="180"/>
      </w:pPr>
    </w:lvl>
    <w:lvl w:ilvl="3" w:tplc="0422000F" w:tentative="1">
      <w:start w:val="1"/>
      <w:numFmt w:val="decimal"/>
      <w:lvlText w:val="%4."/>
      <w:lvlJc w:val="left"/>
      <w:pPr>
        <w:ind w:left="7700" w:hanging="360"/>
      </w:pPr>
    </w:lvl>
    <w:lvl w:ilvl="4" w:tplc="04220019" w:tentative="1">
      <w:start w:val="1"/>
      <w:numFmt w:val="lowerLetter"/>
      <w:lvlText w:val="%5."/>
      <w:lvlJc w:val="left"/>
      <w:pPr>
        <w:ind w:left="8420" w:hanging="360"/>
      </w:pPr>
    </w:lvl>
    <w:lvl w:ilvl="5" w:tplc="0422001B" w:tentative="1">
      <w:start w:val="1"/>
      <w:numFmt w:val="lowerRoman"/>
      <w:lvlText w:val="%6."/>
      <w:lvlJc w:val="right"/>
      <w:pPr>
        <w:ind w:left="9140" w:hanging="180"/>
      </w:pPr>
    </w:lvl>
    <w:lvl w:ilvl="6" w:tplc="0422000F" w:tentative="1">
      <w:start w:val="1"/>
      <w:numFmt w:val="decimal"/>
      <w:lvlText w:val="%7."/>
      <w:lvlJc w:val="left"/>
      <w:pPr>
        <w:ind w:left="9860" w:hanging="360"/>
      </w:pPr>
    </w:lvl>
    <w:lvl w:ilvl="7" w:tplc="04220019" w:tentative="1">
      <w:start w:val="1"/>
      <w:numFmt w:val="lowerLetter"/>
      <w:lvlText w:val="%8."/>
      <w:lvlJc w:val="left"/>
      <w:pPr>
        <w:ind w:left="10580" w:hanging="360"/>
      </w:pPr>
    </w:lvl>
    <w:lvl w:ilvl="8" w:tplc="0422001B" w:tentative="1">
      <w:start w:val="1"/>
      <w:numFmt w:val="lowerRoman"/>
      <w:lvlText w:val="%9."/>
      <w:lvlJc w:val="right"/>
      <w:pPr>
        <w:ind w:left="11300" w:hanging="180"/>
      </w:pPr>
    </w:lvl>
  </w:abstractNum>
  <w:abstractNum w:abstractNumId="4">
    <w:nsid w:val="6D15189A"/>
    <w:multiLevelType w:val="hybridMultilevel"/>
    <w:tmpl w:val="0D98D126"/>
    <w:lvl w:ilvl="0" w:tplc="6B3C48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1600A"/>
    <w:multiLevelType w:val="hybridMultilevel"/>
    <w:tmpl w:val="361A0F24"/>
    <w:lvl w:ilvl="0" w:tplc="57AE1014">
      <w:start w:val="5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900" w:hanging="360"/>
      </w:pPr>
    </w:lvl>
    <w:lvl w:ilvl="2" w:tplc="0422001B" w:tentative="1">
      <w:start w:val="1"/>
      <w:numFmt w:val="lowerRoman"/>
      <w:lvlText w:val="%3."/>
      <w:lvlJc w:val="right"/>
      <w:pPr>
        <w:ind w:left="6620" w:hanging="180"/>
      </w:pPr>
    </w:lvl>
    <w:lvl w:ilvl="3" w:tplc="0422000F" w:tentative="1">
      <w:start w:val="1"/>
      <w:numFmt w:val="decimal"/>
      <w:lvlText w:val="%4."/>
      <w:lvlJc w:val="left"/>
      <w:pPr>
        <w:ind w:left="7340" w:hanging="360"/>
      </w:pPr>
    </w:lvl>
    <w:lvl w:ilvl="4" w:tplc="04220019" w:tentative="1">
      <w:start w:val="1"/>
      <w:numFmt w:val="lowerLetter"/>
      <w:lvlText w:val="%5."/>
      <w:lvlJc w:val="left"/>
      <w:pPr>
        <w:ind w:left="8060" w:hanging="360"/>
      </w:pPr>
    </w:lvl>
    <w:lvl w:ilvl="5" w:tplc="0422001B" w:tentative="1">
      <w:start w:val="1"/>
      <w:numFmt w:val="lowerRoman"/>
      <w:lvlText w:val="%6."/>
      <w:lvlJc w:val="right"/>
      <w:pPr>
        <w:ind w:left="8780" w:hanging="180"/>
      </w:pPr>
    </w:lvl>
    <w:lvl w:ilvl="6" w:tplc="0422000F" w:tentative="1">
      <w:start w:val="1"/>
      <w:numFmt w:val="decimal"/>
      <w:lvlText w:val="%7."/>
      <w:lvlJc w:val="left"/>
      <w:pPr>
        <w:ind w:left="9500" w:hanging="360"/>
      </w:pPr>
    </w:lvl>
    <w:lvl w:ilvl="7" w:tplc="04220019" w:tentative="1">
      <w:start w:val="1"/>
      <w:numFmt w:val="lowerLetter"/>
      <w:lvlText w:val="%8."/>
      <w:lvlJc w:val="left"/>
      <w:pPr>
        <w:ind w:left="10220" w:hanging="360"/>
      </w:pPr>
    </w:lvl>
    <w:lvl w:ilvl="8" w:tplc="0422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C785F"/>
    <w:rsid w:val="001025E2"/>
    <w:rsid w:val="00106B10"/>
    <w:rsid w:val="00215C68"/>
    <w:rsid w:val="00381B54"/>
    <w:rsid w:val="003A27C1"/>
    <w:rsid w:val="003D406A"/>
    <w:rsid w:val="003F4C1A"/>
    <w:rsid w:val="00551ACC"/>
    <w:rsid w:val="00606D69"/>
    <w:rsid w:val="006341CB"/>
    <w:rsid w:val="0066063D"/>
    <w:rsid w:val="00673BAC"/>
    <w:rsid w:val="006B4A14"/>
    <w:rsid w:val="00851809"/>
    <w:rsid w:val="00954463"/>
    <w:rsid w:val="009632C6"/>
    <w:rsid w:val="009C785F"/>
    <w:rsid w:val="00AD077C"/>
    <w:rsid w:val="00BA6A6E"/>
    <w:rsid w:val="00C31D8A"/>
    <w:rsid w:val="00C81349"/>
    <w:rsid w:val="00CD0251"/>
    <w:rsid w:val="00CF25BC"/>
    <w:rsid w:val="00D471FD"/>
    <w:rsid w:val="00DD6620"/>
    <w:rsid w:val="00E37355"/>
    <w:rsid w:val="00EC3504"/>
    <w:rsid w:val="00F30DD7"/>
    <w:rsid w:val="00F6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7C1"/>
  </w:style>
  <w:style w:type="paragraph" w:styleId="1">
    <w:name w:val="heading 1"/>
    <w:basedOn w:val="a"/>
    <w:next w:val="a"/>
    <w:link w:val="10"/>
    <w:qFormat/>
    <w:rsid w:val="00DD66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85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F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5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F2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DD66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DD662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rsid w:val="00DD662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3150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2019-02-20T13:49:00Z</cp:lastPrinted>
  <dcterms:created xsi:type="dcterms:W3CDTF">2019-02-15T13:09:00Z</dcterms:created>
  <dcterms:modified xsi:type="dcterms:W3CDTF">2019-02-26T10:01:00Z</dcterms:modified>
</cp:coreProperties>
</file>