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9A" w:rsidRPr="008819AD" w:rsidRDefault="00E0436A" w:rsidP="00E0436A">
      <w:pPr>
        <w:jc w:val="center"/>
        <w:rPr>
          <w:sz w:val="28"/>
          <w:szCs w:val="28"/>
        </w:rPr>
      </w:pPr>
      <w:bookmarkStart w:id="0" w:name="_Toc404864759"/>
      <w:r w:rsidRPr="00E0436A">
        <w:rPr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C9A" w:rsidRPr="00056F29" w:rsidRDefault="00F90C9A" w:rsidP="00F90C9A">
      <w:pPr>
        <w:rPr>
          <w:lang w:val="uk-UA"/>
        </w:rPr>
      </w:pPr>
      <w:r w:rsidRPr="00056F29">
        <w:rPr>
          <w:lang w:val="uk-UA"/>
        </w:rPr>
        <w:t xml:space="preserve">Від </w:t>
      </w:r>
      <w:r w:rsidR="00747029" w:rsidRPr="00056F29">
        <w:rPr>
          <w:lang w:val="uk-UA"/>
        </w:rPr>
        <w:t>10</w:t>
      </w:r>
      <w:r w:rsidR="008819AD" w:rsidRPr="00056F29">
        <w:rPr>
          <w:lang w:val="uk-UA"/>
        </w:rPr>
        <w:t>.07.201</w:t>
      </w:r>
      <w:r w:rsidR="00747029" w:rsidRPr="00056F29">
        <w:rPr>
          <w:lang w:val="uk-UA"/>
        </w:rPr>
        <w:t>9</w:t>
      </w:r>
      <w:r w:rsidRPr="00056F29">
        <w:rPr>
          <w:lang w:val="uk-UA"/>
        </w:rPr>
        <w:t xml:space="preserve"> № </w:t>
      </w:r>
      <w:r w:rsidR="006C5B32">
        <w:rPr>
          <w:lang w:val="uk-UA"/>
        </w:rPr>
        <w:t>194</w:t>
      </w:r>
    </w:p>
    <w:p w:rsidR="00F90C9A" w:rsidRPr="00056F29" w:rsidRDefault="00F90C9A" w:rsidP="00F90C9A">
      <w:pPr>
        <w:rPr>
          <w:lang w:val="uk-UA"/>
        </w:rPr>
      </w:pPr>
    </w:p>
    <w:p w:rsidR="00F90C9A" w:rsidRPr="00056F29" w:rsidRDefault="00F90C9A" w:rsidP="00F90C9A">
      <w:pPr>
        <w:rPr>
          <w:lang w:val="uk-UA"/>
        </w:rPr>
      </w:pPr>
      <w:r w:rsidRPr="00056F29">
        <w:rPr>
          <w:lang w:val="uk-UA"/>
        </w:rPr>
        <w:t xml:space="preserve">Про </w:t>
      </w:r>
      <w:r w:rsidR="00997BF6">
        <w:rPr>
          <w:lang w:val="uk-UA"/>
        </w:rPr>
        <w:t xml:space="preserve">погодження </w:t>
      </w:r>
      <w:r w:rsidR="00B85657">
        <w:rPr>
          <w:lang w:val="uk-UA"/>
        </w:rPr>
        <w:t xml:space="preserve">переліку </w:t>
      </w:r>
      <w:r w:rsidR="00997BF6">
        <w:rPr>
          <w:lang w:val="uk-UA"/>
        </w:rPr>
        <w:t>заходів</w:t>
      </w:r>
      <w:r w:rsidRPr="00056F29">
        <w:rPr>
          <w:lang w:val="uk-UA"/>
        </w:rPr>
        <w:t xml:space="preserve"> </w:t>
      </w:r>
      <w:r w:rsidRPr="00056F29">
        <w:rPr>
          <w:lang w:val="uk-UA"/>
        </w:rPr>
        <w:br/>
      </w:r>
      <w:r w:rsidR="00997BF6">
        <w:rPr>
          <w:lang w:val="uk-UA"/>
        </w:rPr>
        <w:t>інвестиційної</w:t>
      </w:r>
      <w:r w:rsidRPr="00056F29">
        <w:rPr>
          <w:lang w:val="uk-UA"/>
        </w:rPr>
        <w:t xml:space="preserve"> </w:t>
      </w:r>
      <w:r w:rsidR="00997BF6">
        <w:rPr>
          <w:lang w:val="uk-UA"/>
        </w:rPr>
        <w:t xml:space="preserve">програми </w:t>
      </w:r>
      <w:r w:rsidR="00B85657">
        <w:rPr>
          <w:lang w:val="uk-UA"/>
        </w:rPr>
        <w:t>по Канівському</w:t>
      </w:r>
      <w:r w:rsidR="00B85657">
        <w:rPr>
          <w:lang w:val="uk-UA"/>
        </w:rPr>
        <w:br/>
        <w:t>комунальному підприємству т</w:t>
      </w:r>
      <w:r w:rsidR="00997BF6">
        <w:rPr>
          <w:lang w:val="uk-UA"/>
        </w:rPr>
        <w:t>еплових мереж»</w:t>
      </w:r>
      <w:r w:rsidR="00E0436A" w:rsidRPr="00056F29">
        <w:rPr>
          <w:lang w:val="uk-UA"/>
        </w:rPr>
        <w:br/>
      </w:r>
      <w:r w:rsidRPr="00056F29">
        <w:rPr>
          <w:lang w:val="uk-UA"/>
        </w:rPr>
        <w:t xml:space="preserve"> </w:t>
      </w:r>
    </w:p>
    <w:p w:rsidR="00F90C9A" w:rsidRPr="00056F29" w:rsidRDefault="00F90C9A" w:rsidP="00F90C9A">
      <w:pPr>
        <w:rPr>
          <w:lang w:val="uk-UA"/>
        </w:rPr>
      </w:pPr>
    </w:p>
    <w:p w:rsidR="00F90C9A" w:rsidRPr="00056F29" w:rsidRDefault="00F90C9A" w:rsidP="00F90C9A">
      <w:pPr>
        <w:ind w:firstLine="567"/>
        <w:jc w:val="both"/>
        <w:rPr>
          <w:lang w:val="uk-UA"/>
        </w:rPr>
      </w:pPr>
      <w:r w:rsidRPr="00056F29">
        <w:rPr>
          <w:lang w:val="uk-UA"/>
        </w:rPr>
        <w:t xml:space="preserve">Відповідно </w:t>
      </w:r>
      <w:r w:rsidR="005E546A" w:rsidRPr="00056F29">
        <w:rPr>
          <w:color w:val="000000"/>
          <w:spacing w:val="-2"/>
          <w:lang w:val="uk-UA"/>
        </w:rPr>
        <w:t xml:space="preserve">до </w:t>
      </w:r>
      <w:r w:rsidR="00B85657">
        <w:rPr>
          <w:color w:val="000000"/>
          <w:spacing w:val="-2"/>
          <w:lang w:val="uk-UA"/>
        </w:rPr>
        <w:t xml:space="preserve">підпункту 5, </w:t>
      </w:r>
      <w:r w:rsidR="00B85657" w:rsidRPr="00056F29">
        <w:rPr>
          <w:color w:val="000000"/>
          <w:spacing w:val="-2"/>
          <w:lang w:val="uk-UA"/>
        </w:rPr>
        <w:t xml:space="preserve">пункту </w:t>
      </w:r>
      <w:r w:rsidR="00B85657">
        <w:rPr>
          <w:color w:val="000000"/>
          <w:spacing w:val="-2"/>
          <w:lang w:val="uk-UA"/>
        </w:rPr>
        <w:t xml:space="preserve">а), </w:t>
      </w:r>
      <w:r w:rsidR="005E546A" w:rsidRPr="00056F29">
        <w:rPr>
          <w:color w:val="000000"/>
          <w:spacing w:val="-2"/>
          <w:lang w:val="uk-UA"/>
        </w:rPr>
        <w:t xml:space="preserve">частини </w:t>
      </w:r>
      <w:r w:rsidR="00B85657">
        <w:rPr>
          <w:color w:val="000000"/>
          <w:spacing w:val="-2"/>
          <w:lang w:val="uk-UA"/>
        </w:rPr>
        <w:t>1</w:t>
      </w:r>
      <w:r w:rsidR="005E546A" w:rsidRPr="00056F29">
        <w:rPr>
          <w:color w:val="000000"/>
          <w:spacing w:val="-2"/>
          <w:lang w:val="uk-UA"/>
        </w:rPr>
        <w:t xml:space="preserve"> статті 28, </w:t>
      </w:r>
      <w:r w:rsidR="00B85657">
        <w:rPr>
          <w:color w:val="000000"/>
          <w:spacing w:val="-2"/>
          <w:lang w:val="uk-UA"/>
        </w:rPr>
        <w:t xml:space="preserve">підпункту 1, </w:t>
      </w:r>
      <w:r w:rsidR="00B85657" w:rsidRPr="00056F29">
        <w:rPr>
          <w:color w:val="000000"/>
          <w:spacing w:val="-2"/>
          <w:lang w:val="uk-UA"/>
        </w:rPr>
        <w:t xml:space="preserve">пункту </w:t>
      </w:r>
      <w:r w:rsidR="00B85657">
        <w:rPr>
          <w:color w:val="000000"/>
          <w:spacing w:val="-2"/>
          <w:lang w:val="uk-UA"/>
        </w:rPr>
        <w:t xml:space="preserve">а), </w:t>
      </w:r>
      <w:r w:rsidR="00B85657" w:rsidRPr="00056F29">
        <w:rPr>
          <w:color w:val="000000"/>
          <w:spacing w:val="-2"/>
          <w:lang w:val="uk-UA"/>
        </w:rPr>
        <w:t xml:space="preserve">частини </w:t>
      </w:r>
      <w:r w:rsidR="00B85657">
        <w:rPr>
          <w:color w:val="000000"/>
          <w:spacing w:val="-2"/>
          <w:lang w:val="uk-UA"/>
        </w:rPr>
        <w:t>1</w:t>
      </w:r>
      <w:r w:rsidR="00B85657" w:rsidRPr="00056F29">
        <w:rPr>
          <w:color w:val="000000"/>
          <w:spacing w:val="-2"/>
          <w:lang w:val="uk-UA"/>
        </w:rPr>
        <w:t xml:space="preserve"> </w:t>
      </w:r>
      <w:r w:rsidR="005E546A" w:rsidRPr="00056F29">
        <w:rPr>
          <w:color w:val="000000"/>
          <w:spacing w:val="-2"/>
          <w:lang w:val="uk-UA"/>
        </w:rPr>
        <w:t>статті 3</w:t>
      </w:r>
      <w:r w:rsidR="00B85657">
        <w:rPr>
          <w:color w:val="000000"/>
          <w:spacing w:val="-2"/>
          <w:lang w:val="uk-UA"/>
        </w:rPr>
        <w:t>0</w:t>
      </w:r>
      <w:r w:rsidR="005E546A" w:rsidRPr="00056F29">
        <w:rPr>
          <w:color w:val="000000"/>
          <w:spacing w:val="-2"/>
          <w:lang w:val="uk-UA"/>
        </w:rPr>
        <w:t xml:space="preserve"> </w:t>
      </w:r>
      <w:r w:rsidRPr="00056F29">
        <w:rPr>
          <w:lang w:val="uk-UA"/>
        </w:rPr>
        <w:t>Закону України „Про мі</w:t>
      </w:r>
      <w:r w:rsidR="001144AD" w:rsidRPr="00056F29">
        <w:rPr>
          <w:lang w:val="uk-UA"/>
        </w:rPr>
        <w:t>сцеве самоврядування в Україні”</w:t>
      </w:r>
      <w:r w:rsidR="00912437">
        <w:rPr>
          <w:lang w:val="uk-UA"/>
        </w:rPr>
        <w:t>,</w:t>
      </w:r>
      <w:r w:rsidRPr="00056F29">
        <w:rPr>
          <w:lang w:val="uk-UA"/>
        </w:rPr>
        <w:t xml:space="preserve"> </w:t>
      </w:r>
      <w:r w:rsidR="005E546A" w:rsidRPr="00056F29">
        <w:rPr>
          <w:lang w:val="uk-UA"/>
        </w:rPr>
        <w:t>звернен</w:t>
      </w:r>
      <w:r w:rsidR="00B85657">
        <w:rPr>
          <w:lang w:val="uk-UA"/>
        </w:rPr>
        <w:t>ня</w:t>
      </w:r>
      <w:r w:rsidR="005E546A" w:rsidRPr="00056F29">
        <w:rPr>
          <w:lang w:val="uk-UA"/>
        </w:rPr>
        <w:t xml:space="preserve"> </w:t>
      </w:r>
      <w:r w:rsidR="00B85657">
        <w:rPr>
          <w:lang w:val="uk-UA"/>
        </w:rPr>
        <w:t>керівника Канівського комунального підприємства теплових мереж</w:t>
      </w:r>
      <w:r w:rsidRPr="00056F29">
        <w:rPr>
          <w:lang w:val="uk-UA"/>
        </w:rPr>
        <w:t xml:space="preserve"> </w:t>
      </w:r>
      <w:r w:rsidR="008819AD" w:rsidRPr="00056F29">
        <w:rPr>
          <w:lang w:val="uk-UA"/>
        </w:rPr>
        <w:t xml:space="preserve">виконавчий комітет </w:t>
      </w:r>
    </w:p>
    <w:p w:rsidR="00F90C9A" w:rsidRPr="00056F29" w:rsidRDefault="00F90C9A" w:rsidP="00F90C9A">
      <w:pPr>
        <w:ind w:firstLine="567"/>
        <w:jc w:val="both"/>
        <w:rPr>
          <w:lang w:val="uk-UA"/>
        </w:rPr>
      </w:pPr>
    </w:p>
    <w:p w:rsidR="00F90C9A" w:rsidRPr="00056F29" w:rsidRDefault="00F90C9A" w:rsidP="00F90C9A">
      <w:pPr>
        <w:ind w:firstLine="567"/>
        <w:jc w:val="both"/>
        <w:rPr>
          <w:lang w:val="uk-UA"/>
        </w:rPr>
      </w:pPr>
      <w:r w:rsidRPr="00056F29">
        <w:rPr>
          <w:lang w:val="uk-UA"/>
        </w:rPr>
        <w:t>ВИРІШИ</w:t>
      </w:r>
      <w:r w:rsidR="008819AD" w:rsidRPr="00056F29">
        <w:rPr>
          <w:lang w:val="uk-UA"/>
        </w:rPr>
        <w:t>В</w:t>
      </w:r>
      <w:r w:rsidRPr="00056F29">
        <w:rPr>
          <w:lang w:val="uk-UA"/>
        </w:rPr>
        <w:t>:</w:t>
      </w:r>
    </w:p>
    <w:p w:rsidR="00F90C9A" w:rsidRPr="00056F29" w:rsidRDefault="00F90C9A" w:rsidP="00F90C9A">
      <w:pPr>
        <w:ind w:firstLine="567"/>
        <w:jc w:val="both"/>
        <w:rPr>
          <w:lang w:val="uk-UA"/>
        </w:rPr>
      </w:pPr>
    </w:p>
    <w:p w:rsidR="00F90C9A" w:rsidRPr="00056F29" w:rsidRDefault="001D49F2" w:rsidP="00F90C9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</w:t>
      </w:r>
      <w:r w:rsidR="005862C8">
        <w:rPr>
          <w:rFonts w:ascii="Times New Roman" w:hAnsi="Times New Roman" w:cs="Times New Roman"/>
          <w:sz w:val="24"/>
          <w:szCs w:val="24"/>
        </w:rPr>
        <w:t xml:space="preserve">ити </w:t>
      </w:r>
      <w:r w:rsidR="00B85657">
        <w:rPr>
          <w:rFonts w:ascii="Times New Roman" w:hAnsi="Times New Roman" w:cs="Times New Roman"/>
          <w:sz w:val="24"/>
          <w:szCs w:val="24"/>
        </w:rPr>
        <w:t>перелік заходів інвестиційної програми по Канівському комунальному підприємству теплових мереж на 2019 рік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5F26" w:rsidRPr="00056F29">
        <w:rPr>
          <w:rFonts w:ascii="Times New Roman" w:hAnsi="Times New Roman" w:cs="Times New Roman"/>
          <w:sz w:val="24"/>
          <w:szCs w:val="24"/>
        </w:rPr>
        <w:t>згідно з додатком</w:t>
      </w:r>
      <w:r w:rsidR="00F90C9A" w:rsidRPr="00056F29">
        <w:rPr>
          <w:rFonts w:ascii="Times New Roman" w:hAnsi="Times New Roman" w:cs="Times New Roman"/>
          <w:sz w:val="24"/>
          <w:szCs w:val="24"/>
        </w:rPr>
        <w:t>.</w:t>
      </w:r>
    </w:p>
    <w:p w:rsidR="008819AD" w:rsidRDefault="00C63CE1" w:rsidP="0017673A">
      <w:pPr>
        <w:pStyle w:val="a8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Управлінню житлово – комунального господарства та екології (Стадник Т.П.) </w:t>
      </w:r>
      <w:r w:rsidR="00912437">
        <w:rPr>
          <w:rFonts w:ascii="Times New Roman" w:hAnsi="Times New Roman" w:cs="Times New Roman"/>
          <w:sz w:val="24"/>
          <w:szCs w:val="24"/>
        </w:rPr>
        <w:t>підготувати та в</w:t>
      </w:r>
      <w:r w:rsidR="00912437" w:rsidRPr="00056F29">
        <w:rPr>
          <w:rFonts w:ascii="Times New Roman" w:hAnsi="Times New Roman" w:cs="Times New Roman"/>
          <w:sz w:val="24"/>
          <w:szCs w:val="24"/>
        </w:rPr>
        <w:t xml:space="preserve">нести на розгляд Канівської міської ради </w:t>
      </w:r>
      <w:r w:rsidR="00912437">
        <w:rPr>
          <w:rFonts w:ascii="Times New Roman" w:hAnsi="Times New Roman" w:cs="Times New Roman"/>
          <w:sz w:val="24"/>
          <w:szCs w:val="24"/>
        </w:rPr>
        <w:t xml:space="preserve">проект рішення щодо затвердження переліку заходів інвестиційної програми Канівського комунального підприємства теплових мереж на 2019 рік </w:t>
      </w:r>
      <w:r w:rsidR="00E02FBD" w:rsidRPr="00056F29">
        <w:rPr>
          <w:rFonts w:ascii="Times New Roman" w:hAnsi="Times New Roman" w:cs="Times New Roman"/>
          <w:sz w:val="24"/>
          <w:szCs w:val="24"/>
        </w:rPr>
        <w:t xml:space="preserve"> згідно з додатком зазначеним в пункті 1 даного рішення.</w:t>
      </w:r>
    </w:p>
    <w:p w:rsidR="008819AD" w:rsidRPr="00056F29" w:rsidRDefault="008819AD" w:rsidP="0092738E">
      <w:pPr>
        <w:numPr>
          <w:ilvl w:val="0"/>
          <w:numId w:val="15"/>
        </w:numPr>
        <w:ind w:left="0" w:firstLine="567"/>
        <w:jc w:val="both"/>
        <w:rPr>
          <w:lang w:val="uk-UA"/>
        </w:rPr>
      </w:pPr>
      <w:r w:rsidRPr="00056F29">
        <w:rPr>
          <w:lang w:val="uk-UA"/>
        </w:rPr>
        <w:t xml:space="preserve">Контроль за виконанням даного рішення покласти на </w:t>
      </w:r>
      <w:r w:rsidR="00E02FBD" w:rsidRPr="00056F29">
        <w:rPr>
          <w:lang w:val="uk-UA"/>
        </w:rPr>
        <w:t xml:space="preserve">керуючого </w:t>
      </w:r>
      <w:r w:rsidRPr="00056F29">
        <w:rPr>
          <w:lang w:val="uk-UA"/>
        </w:rPr>
        <w:t>справами Святелика В.І.</w:t>
      </w:r>
      <w:r w:rsidR="00E02FBD" w:rsidRPr="00056F29">
        <w:rPr>
          <w:lang w:val="uk-UA"/>
        </w:rPr>
        <w:t xml:space="preserve"> та управління ЖКГ та екології.</w:t>
      </w:r>
    </w:p>
    <w:p w:rsidR="00F90C9A" w:rsidRPr="00056F29" w:rsidRDefault="00F90C9A" w:rsidP="00F90C9A">
      <w:pPr>
        <w:pStyle w:val="a8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>Міський голова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 xml:space="preserve"> 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>І.О. Ренькас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E02FBD" w:rsidP="008819AD">
      <w:pPr>
        <w:jc w:val="both"/>
        <w:rPr>
          <w:lang w:val="uk-UA"/>
        </w:rPr>
      </w:pPr>
      <w:r w:rsidRPr="00056F29">
        <w:rPr>
          <w:lang w:val="uk-UA"/>
        </w:rPr>
        <w:t>К</w:t>
      </w:r>
      <w:r w:rsidR="008819AD" w:rsidRPr="00056F29">
        <w:rPr>
          <w:lang w:val="uk-UA"/>
        </w:rPr>
        <w:t>еруючий справами</w:t>
      </w:r>
      <w:r w:rsidR="008819AD" w:rsidRPr="00056F29">
        <w:rPr>
          <w:lang w:val="uk-UA"/>
        </w:rPr>
        <w:tab/>
      </w:r>
      <w:r w:rsidR="008819AD" w:rsidRPr="00056F29">
        <w:rPr>
          <w:lang w:val="uk-UA"/>
        </w:rPr>
        <w:tab/>
      </w:r>
      <w:r w:rsidR="008819AD"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="008819AD" w:rsidRPr="00056F29">
        <w:rPr>
          <w:lang w:val="uk-UA"/>
        </w:rPr>
        <w:t>В.І. Святелик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>ПОГОДЖЕНО: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 xml:space="preserve">Начальник </w:t>
      </w:r>
      <w:r w:rsidR="00E02FBD" w:rsidRPr="00056F29">
        <w:rPr>
          <w:lang w:val="uk-UA"/>
        </w:rPr>
        <w:t>управління</w:t>
      </w:r>
      <w:r w:rsidRPr="00056F29">
        <w:rPr>
          <w:lang w:val="uk-UA"/>
        </w:rPr>
        <w:t xml:space="preserve"> ЖКГ та </w:t>
      </w:r>
      <w:r w:rsidR="00E02FBD" w:rsidRPr="00056F29">
        <w:rPr>
          <w:lang w:val="uk-UA"/>
        </w:rPr>
        <w:t>екології</w:t>
      </w:r>
      <w:r w:rsidRPr="00056F29">
        <w:rPr>
          <w:lang w:val="uk-UA"/>
        </w:rPr>
        <w:t xml:space="preserve"> </w:t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  <w:t>Т.П. Стадник</w:t>
      </w:r>
    </w:p>
    <w:p w:rsidR="00912437" w:rsidRDefault="00912437" w:rsidP="008819AD">
      <w:pPr>
        <w:jc w:val="both"/>
        <w:rPr>
          <w:lang w:val="uk-UA"/>
        </w:rPr>
      </w:pPr>
    </w:p>
    <w:p w:rsidR="00912437" w:rsidRPr="00056F29" w:rsidRDefault="00912437" w:rsidP="008819AD">
      <w:pPr>
        <w:jc w:val="both"/>
        <w:rPr>
          <w:lang w:val="uk-UA"/>
        </w:rPr>
      </w:pPr>
      <w:r>
        <w:rPr>
          <w:lang w:val="uk-UA"/>
        </w:rPr>
        <w:t xml:space="preserve">Директор Канівського КПТМ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В.В. Коломієць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rPr>
          <w:lang w:val="uk-UA"/>
        </w:rPr>
      </w:pPr>
      <w:r w:rsidRPr="00056F29">
        <w:rPr>
          <w:lang w:val="uk-UA"/>
        </w:rPr>
        <w:t>Начальник юридичного відділу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>Н.О. Лісова</w:t>
      </w:r>
    </w:p>
    <w:p w:rsidR="00F90C9A" w:rsidRPr="00056F29" w:rsidRDefault="00F90C9A" w:rsidP="00F90C9A">
      <w:pPr>
        <w:rPr>
          <w:lang w:val="uk-UA"/>
        </w:rPr>
        <w:sectPr w:rsidR="00F90C9A" w:rsidRPr="00056F29" w:rsidSect="0029713E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242BD8" w:rsidRPr="000A0854" w:rsidRDefault="000A0854" w:rsidP="000A0854">
      <w:pPr>
        <w:jc w:val="right"/>
        <w:rPr>
          <w:sz w:val="20"/>
          <w:szCs w:val="20"/>
          <w:lang w:val="uk-UA"/>
        </w:rPr>
      </w:pPr>
      <w:r w:rsidRPr="000A0854">
        <w:rPr>
          <w:sz w:val="20"/>
          <w:szCs w:val="20"/>
          <w:lang w:val="uk-UA"/>
        </w:rPr>
        <w:lastRenderedPageBreak/>
        <w:t>Додаток</w:t>
      </w:r>
      <w:r w:rsidRPr="000A0854">
        <w:rPr>
          <w:sz w:val="20"/>
          <w:szCs w:val="20"/>
          <w:lang w:val="uk-UA"/>
        </w:rPr>
        <w:br/>
        <w:t xml:space="preserve">до рішення </w:t>
      </w:r>
      <w:r w:rsidR="00E02FBD">
        <w:rPr>
          <w:sz w:val="20"/>
          <w:szCs w:val="20"/>
          <w:lang w:val="uk-UA"/>
        </w:rPr>
        <w:t>виконавчого комітету</w:t>
      </w:r>
      <w:r w:rsidR="00E02FBD">
        <w:rPr>
          <w:sz w:val="20"/>
          <w:szCs w:val="20"/>
          <w:lang w:val="uk-UA"/>
        </w:rPr>
        <w:br/>
      </w:r>
      <w:r w:rsidRPr="000A0854">
        <w:rPr>
          <w:sz w:val="20"/>
          <w:szCs w:val="20"/>
          <w:lang w:val="uk-UA"/>
        </w:rPr>
        <w:t xml:space="preserve"> </w:t>
      </w:r>
      <w:r w:rsidRPr="000A0854">
        <w:rPr>
          <w:sz w:val="20"/>
          <w:szCs w:val="20"/>
          <w:lang w:val="uk-UA"/>
        </w:rPr>
        <w:br/>
        <w:t>від ___________ № ______</w:t>
      </w:r>
    </w:p>
    <w:p w:rsidR="00E02FBD" w:rsidRDefault="00E02FBD" w:rsidP="000A0854">
      <w:pPr>
        <w:jc w:val="center"/>
        <w:rPr>
          <w:b/>
          <w:lang w:val="uk-UA"/>
        </w:rPr>
      </w:pPr>
    </w:p>
    <w:tbl>
      <w:tblPr>
        <w:tblW w:w="9781" w:type="dxa"/>
        <w:tblCellMar>
          <w:left w:w="0" w:type="dxa"/>
          <w:right w:w="0" w:type="dxa"/>
        </w:tblCellMar>
        <w:tblLook w:val="04A0"/>
      </w:tblPr>
      <w:tblGrid>
        <w:gridCol w:w="528"/>
        <w:gridCol w:w="5151"/>
        <w:gridCol w:w="981"/>
        <w:gridCol w:w="1010"/>
        <w:gridCol w:w="966"/>
        <w:gridCol w:w="1145"/>
      </w:tblGrid>
      <w:tr w:rsidR="00912437" w:rsidRPr="00912437" w:rsidTr="00912437">
        <w:trPr>
          <w:trHeight w:val="300"/>
        </w:trPr>
        <w:tc>
          <w:tcPr>
            <w:tcW w:w="9781" w:type="dxa"/>
            <w:gridSpan w:val="6"/>
            <w:shd w:val="clear" w:color="auto" w:fill="auto"/>
            <w:vAlign w:val="bottom"/>
            <w:hideMark/>
          </w:tcPr>
          <w:bookmarkEnd w:id="0"/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Перелік заходів інвестиційної програми</w:t>
            </w:r>
          </w:p>
        </w:tc>
      </w:tr>
      <w:tr w:rsidR="00912437" w:rsidRPr="00912437" w:rsidTr="00912437">
        <w:trPr>
          <w:trHeight w:val="300"/>
        </w:trPr>
        <w:tc>
          <w:tcPr>
            <w:tcW w:w="9781" w:type="dxa"/>
            <w:gridSpan w:val="6"/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по Канівському комунальному підприємству теплових мереж</w:t>
            </w:r>
          </w:p>
        </w:tc>
      </w:tr>
      <w:tr w:rsidR="00912437" w:rsidRPr="00912437" w:rsidTr="00912437">
        <w:trPr>
          <w:trHeight w:val="300"/>
        </w:trPr>
        <w:tc>
          <w:tcPr>
            <w:tcW w:w="9781" w:type="dxa"/>
            <w:gridSpan w:val="6"/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на 2019 рік</w:t>
            </w:r>
          </w:p>
        </w:tc>
      </w:tr>
      <w:tr w:rsidR="00912437" w:rsidRPr="00912437" w:rsidTr="00912437">
        <w:trPr>
          <w:trHeight w:val="270"/>
        </w:trPr>
        <w:tc>
          <w:tcPr>
            <w:tcW w:w="9781" w:type="dxa"/>
            <w:gridSpan w:val="6"/>
            <w:tcBorders>
              <w:bottom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right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тис. </w:t>
            </w:r>
            <w:r>
              <w:rPr>
                <w:color w:val="000000"/>
                <w:lang w:val="uk-UA"/>
              </w:rPr>
              <w:t>грн..</w:t>
            </w:r>
            <w:r w:rsidRPr="00912437">
              <w:rPr>
                <w:color w:val="000000"/>
                <w:lang w:val="uk-UA"/>
              </w:rPr>
              <w:t xml:space="preserve"> без ПДВ</w:t>
            </w:r>
          </w:p>
        </w:tc>
      </w:tr>
      <w:tr w:rsidR="00912437" w:rsidRPr="00912437" w:rsidTr="00912437">
        <w:trPr>
          <w:trHeight w:val="285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№ п/п</w:t>
            </w:r>
          </w:p>
        </w:tc>
        <w:tc>
          <w:tcPr>
            <w:tcW w:w="5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4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Вартість робіт, тис.</w:t>
            </w:r>
            <w:r>
              <w:rPr>
                <w:color w:val="000000"/>
                <w:lang w:val="uk-UA"/>
              </w:rPr>
              <w:t xml:space="preserve"> грн..</w:t>
            </w:r>
          </w:p>
        </w:tc>
      </w:tr>
      <w:tr w:rsidR="00912437" w:rsidRPr="00912437" w:rsidTr="00912437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Повна вартість</w:t>
            </w:r>
          </w:p>
        </w:tc>
        <w:tc>
          <w:tcPr>
            <w:tcW w:w="31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Кошти заплановані на 2019 рік</w:t>
            </w:r>
          </w:p>
        </w:tc>
      </w:tr>
      <w:tr w:rsidR="00912437" w:rsidRPr="00912437" w:rsidTr="00912437">
        <w:trPr>
          <w:trHeight w:val="8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Загальна вартість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Кошти ККПТМ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Кошти місцевого бюджету</w:t>
            </w:r>
          </w:p>
        </w:tc>
      </w:tr>
      <w:tr w:rsidR="00912437" w:rsidRPr="00912437" w:rsidTr="00912437">
        <w:trPr>
          <w:trHeight w:val="27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6</w:t>
            </w:r>
          </w:p>
        </w:tc>
      </w:tr>
      <w:tr w:rsidR="00912437" w:rsidRPr="00912437" w:rsidTr="00912437">
        <w:trPr>
          <w:trHeight w:val="36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Виробництво теплової енергії</w:t>
            </w:r>
          </w:p>
        </w:tc>
      </w:tr>
      <w:tr w:rsidR="00912437" w:rsidRPr="00912437" w:rsidTr="00912437">
        <w:trPr>
          <w:trHeight w:val="94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Будівництво модульної котельні в районі будинку № 237 по вул. Енергетиків в м. Каневі Черкаської області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3200,00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872,85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872,85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94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Капітальний ремонт котла ДЕ 10/14 котельні західного району (повна заміна конвективної частини)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500,00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500,00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500,00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94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Модернізація будівель котелень з застосуванням енергозберігаючих матеріалів та виконанням робіт по поліпшенню умов праці.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175,18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175,18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175,18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54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Модернізація котельні Західного району з заміною мережного насоса №2 потужністю 30 кВт та встановленням частотного перетворювача на мережному насосі №3 потужністю 45 кВт.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103,60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103,60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103,60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4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Придбання спецтехники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600,00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600,00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600,00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40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Разом виробництво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4578,78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2251,63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2251,63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4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Транспортування теплової енергії</w:t>
            </w:r>
          </w:p>
        </w:tc>
      </w:tr>
      <w:tr w:rsidR="00912437" w:rsidRPr="00912437" w:rsidTr="00912437">
        <w:trPr>
          <w:trHeight w:val="141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від ТК.Л117 до ТК.Л135 по вул. Енергетиків в м.Каневі із застосуванням сталевих труб в ПЕ оболонці; D=159/250 мм - 168 м.п.; D=133/225 - 46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109,25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109,25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109,25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3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2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до приміщення міськрайонного суду по вул. Успенська, 22 в м.Каневі із застосуванням сталевих труб в ПЕ оболонці Ду50 - 38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17,22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17,22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17,22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11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від ТК.Л.1 до ТК.Л.45 по вул. Успенська з застосуванням попередньоізольованих труб Ду50 = 92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42,36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42,36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42,36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11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4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в районі ДНЗ "Канівське ВПУ" по вул. Енергетиків із застосуванням сталевих труб в ПЕ оболонці D=159/250 - 115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149,25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149,25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149,25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3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lastRenderedPageBreak/>
              <w:t>5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від ТК.Г.5 -7 до ТК.Г.7-13 по вул. Героїв Дніпра із застосуванням сталевих труб в ПЕ оболонці D89/160 - 134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126,7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126,7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126,7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23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6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 xml:space="preserve">Модернізація ділянки тепломережі до будинку №41 по вул. Шевченка із застосуванням сталевих труб в ПЕ оболонці; Ф76 - 102,8 м.п. в однотрубному вимірі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56,31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56,31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56,31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187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7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Розробка проектної документації на реконструкцію ділянки тепломережі по вул. 206 Дивізії в районі міського ринку в м.Каневі із застосуванням сталевих труб в ПЕ оболонці Ду 400 мм - 134 м.п. в однотрубному вимірі із заміною двох засувок Ду 400.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200,00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200,00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200,00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45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Разом транспортування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701,09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701,09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701,09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46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Постачання теплової енергії</w:t>
            </w:r>
          </w:p>
        </w:tc>
        <w:tc>
          <w:tcPr>
            <w:tcW w:w="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A704D9">
        <w:trPr>
          <w:trHeight w:val="108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1</w:t>
            </w: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Облаштування двох робочих місць персональними комп'ютерами з ліцензійним програмним забезпеченням та переферійними пристроями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34,17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34,17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34,17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A704D9">
        <w:trPr>
          <w:trHeight w:val="39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Всього по програмі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color w:val="000000"/>
                <w:lang w:val="uk-UA"/>
              </w:rPr>
              <w:t>5314,04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2986,89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  <w:r w:rsidRPr="00912437">
              <w:rPr>
                <w:b/>
                <w:bCs/>
                <w:color w:val="000000"/>
                <w:lang w:val="uk-UA"/>
              </w:rPr>
              <w:t>2986,89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912437" w:rsidRPr="00912437" w:rsidRDefault="00912437" w:rsidP="0091243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315"/>
        </w:trPr>
        <w:tc>
          <w:tcPr>
            <w:tcW w:w="528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5151" w:type="dxa"/>
            <w:tcBorders>
              <w:top w:val="single" w:sz="6" w:space="0" w:color="000000"/>
            </w:tcBorders>
            <w:shd w:val="clear" w:color="auto" w:fill="auto"/>
            <w:vAlign w:val="center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981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96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1145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</w:tr>
      <w:tr w:rsidR="00912437" w:rsidRPr="00912437" w:rsidTr="00912437">
        <w:trPr>
          <w:trHeight w:val="255"/>
        </w:trPr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5151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912437" w:rsidRPr="00912437" w:rsidRDefault="00912437" w:rsidP="00912437">
            <w:pPr>
              <w:rPr>
                <w:color w:val="000000"/>
                <w:lang w:val="uk-UA"/>
              </w:rPr>
            </w:pPr>
          </w:p>
        </w:tc>
      </w:tr>
    </w:tbl>
    <w:p w:rsidR="000F3B53" w:rsidRDefault="000F3B53" w:rsidP="000A7EC4">
      <w:pPr>
        <w:ind w:right="-2" w:firstLine="851"/>
        <w:jc w:val="both"/>
        <w:rPr>
          <w:lang w:val="uk-UA"/>
        </w:rPr>
      </w:pPr>
    </w:p>
    <w:p w:rsidR="000F3B53" w:rsidRDefault="000F3B53" w:rsidP="000A7EC4">
      <w:pPr>
        <w:ind w:right="-2" w:firstLine="851"/>
        <w:jc w:val="both"/>
        <w:rPr>
          <w:lang w:val="uk-UA"/>
        </w:rPr>
      </w:pPr>
    </w:p>
    <w:p w:rsidR="00B72659" w:rsidRPr="00A704D9" w:rsidRDefault="00E02FBD" w:rsidP="000A7EC4">
      <w:pPr>
        <w:ind w:right="-2" w:firstLine="851"/>
        <w:jc w:val="both"/>
        <w:rPr>
          <w:b/>
          <w:sz w:val="26"/>
          <w:szCs w:val="26"/>
          <w:lang w:val="uk-UA"/>
        </w:rPr>
      </w:pPr>
      <w:r w:rsidRPr="00A704D9">
        <w:rPr>
          <w:sz w:val="26"/>
          <w:szCs w:val="26"/>
          <w:lang w:val="uk-UA"/>
        </w:rPr>
        <w:t>К</w:t>
      </w:r>
      <w:r w:rsidR="008819AD" w:rsidRPr="00A704D9">
        <w:rPr>
          <w:sz w:val="26"/>
          <w:szCs w:val="26"/>
          <w:lang w:val="uk-UA"/>
        </w:rPr>
        <w:t>еруюч</w:t>
      </w:r>
      <w:r w:rsidR="00747029" w:rsidRPr="00A704D9">
        <w:rPr>
          <w:sz w:val="26"/>
          <w:szCs w:val="26"/>
          <w:lang w:val="uk-UA"/>
        </w:rPr>
        <w:t>ий</w:t>
      </w:r>
      <w:r w:rsidR="008819AD" w:rsidRPr="00A704D9">
        <w:rPr>
          <w:sz w:val="26"/>
          <w:szCs w:val="26"/>
          <w:lang w:val="uk-UA"/>
        </w:rPr>
        <w:t xml:space="preserve"> справами</w:t>
      </w:r>
      <w:r w:rsidR="008819AD" w:rsidRPr="00A704D9">
        <w:rPr>
          <w:sz w:val="26"/>
          <w:szCs w:val="26"/>
          <w:lang w:val="uk-UA"/>
        </w:rPr>
        <w:tab/>
      </w:r>
      <w:r w:rsidR="008819AD" w:rsidRPr="00A704D9">
        <w:rPr>
          <w:sz w:val="26"/>
          <w:szCs w:val="26"/>
          <w:lang w:val="uk-UA"/>
        </w:rPr>
        <w:tab/>
      </w:r>
      <w:r w:rsidR="008819AD" w:rsidRPr="00A704D9">
        <w:rPr>
          <w:sz w:val="26"/>
          <w:szCs w:val="26"/>
          <w:lang w:val="uk-UA"/>
        </w:rPr>
        <w:tab/>
        <w:t>В.І. Святелик</w:t>
      </w:r>
    </w:p>
    <w:sectPr w:rsidR="00B72659" w:rsidRPr="00A704D9" w:rsidSect="00CF118F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5F" w:rsidRDefault="00644B5F">
      <w:r>
        <w:separator/>
      </w:r>
    </w:p>
  </w:endnote>
  <w:endnote w:type="continuationSeparator" w:id="1">
    <w:p w:rsidR="00644B5F" w:rsidRDefault="00644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Default="006C2637" w:rsidP="00E55D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05A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5A2E" w:rsidRDefault="00205A2E">
    <w:pPr>
      <w:pStyle w:val="a3"/>
    </w:pPr>
  </w:p>
  <w:p w:rsidR="00205A2E" w:rsidRDefault="00205A2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Pr="00CF118F" w:rsidRDefault="00205A2E" w:rsidP="00CF11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5F" w:rsidRDefault="00644B5F">
      <w:r>
        <w:separator/>
      </w:r>
    </w:p>
  </w:footnote>
  <w:footnote w:type="continuationSeparator" w:id="1">
    <w:p w:rsidR="00644B5F" w:rsidRDefault="00644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1D08"/>
    <w:multiLevelType w:val="hybridMultilevel"/>
    <w:tmpl w:val="E8C2157C"/>
    <w:lvl w:ilvl="0" w:tplc="119AAEE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B09038E"/>
    <w:multiLevelType w:val="hybridMultilevel"/>
    <w:tmpl w:val="402A05F8"/>
    <w:lvl w:ilvl="0" w:tplc="7CE858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BEB577A"/>
    <w:multiLevelType w:val="multilevel"/>
    <w:tmpl w:val="1A6AAFF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1" w:hanging="2160"/>
      </w:pPr>
      <w:rPr>
        <w:rFonts w:hint="default"/>
      </w:rPr>
    </w:lvl>
  </w:abstractNum>
  <w:abstractNum w:abstractNumId="3">
    <w:nsid w:val="14C20051"/>
    <w:multiLevelType w:val="hybridMultilevel"/>
    <w:tmpl w:val="6C5ED9E2"/>
    <w:lvl w:ilvl="0" w:tplc="AE2C803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634DF"/>
    <w:multiLevelType w:val="hybridMultilevel"/>
    <w:tmpl w:val="A7223F8E"/>
    <w:lvl w:ilvl="0" w:tplc="2AA687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02F1F5C"/>
    <w:multiLevelType w:val="multilevel"/>
    <w:tmpl w:val="D3BA26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2213316"/>
    <w:multiLevelType w:val="hybridMultilevel"/>
    <w:tmpl w:val="F006C176"/>
    <w:lvl w:ilvl="0" w:tplc="D11E17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3F30CEE"/>
    <w:multiLevelType w:val="multilevel"/>
    <w:tmpl w:val="FB2A32E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  <w:i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  <w:b w:val="0"/>
        <w:i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  <w:b w:val="0"/>
        <w:i/>
      </w:rPr>
    </w:lvl>
  </w:abstractNum>
  <w:abstractNum w:abstractNumId="8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19A3C39"/>
    <w:multiLevelType w:val="hybridMultilevel"/>
    <w:tmpl w:val="8BA812A2"/>
    <w:lvl w:ilvl="0" w:tplc="F69671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81D2D"/>
    <w:multiLevelType w:val="hybridMultilevel"/>
    <w:tmpl w:val="0448ABAC"/>
    <w:lvl w:ilvl="0" w:tplc="6E841F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DE31AC4"/>
    <w:multiLevelType w:val="hybridMultilevel"/>
    <w:tmpl w:val="C1128138"/>
    <w:lvl w:ilvl="0" w:tplc="CE8668F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1A67385"/>
    <w:multiLevelType w:val="hybridMultilevel"/>
    <w:tmpl w:val="29E48796"/>
    <w:lvl w:ilvl="0" w:tplc="6936A70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6D245CC8"/>
    <w:multiLevelType w:val="hybridMultilevel"/>
    <w:tmpl w:val="3F0C19CC"/>
    <w:lvl w:ilvl="0" w:tplc="031A550C">
      <w:start w:val="6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FE7416C"/>
    <w:multiLevelType w:val="hybridMultilevel"/>
    <w:tmpl w:val="BA980624"/>
    <w:lvl w:ilvl="0" w:tplc="3796E70E">
      <w:start w:val="2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C4D7047"/>
    <w:multiLevelType w:val="hybridMultilevel"/>
    <w:tmpl w:val="599AFB7A"/>
    <w:lvl w:ilvl="0" w:tplc="36C2FE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"/>
  </w:num>
  <w:num w:numId="5">
    <w:abstractNumId w:val="11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9"/>
  </w:num>
  <w:num w:numId="15">
    <w:abstractNumId w:val="5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004E"/>
    <w:rsid w:val="0000682D"/>
    <w:rsid w:val="000107F1"/>
    <w:rsid w:val="000235C3"/>
    <w:rsid w:val="00030C6E"/>
    <w:rsid w:val="00034B87"/>
    <w:rsid w:val="000361FD"/>
    <w:rsid w:val="00036891"/>
    <w:rsid w:val="000410B6"/>
    <w:rsid w:val="00042BCA"/>
    <w:rsid w:val="00043FE5"/>
    <w:rsid w:val="00052923"/>
    <w:rsid w:val="00056F29"/>
    <w:rsid w:val="00062234"/>
    <w:rsid w:val="00065632"/>
    <w:rsid w:val="00073258"/>
    <w:rsid w:val="00073522"/>
    <w:rsid w:val="00083CDF"/>
    <w:rsid w:val="00086347"/>
    <w:rsid w:val="00090EBA"/>
    <w:rsid w:val="00091AE3"/>
    <w:rsid w:val="000A0854"/>
    <w:rsid w:val="000A2C35"/>
    <w:rsid w:val="000A436A"/>
    <w:rsid w:val="000A54CB"/>
    <w:rsid w:val="000A60D4"/>
    <w:rsid w:val="000A7EC4"/>
    <w:rsid w:val="000B45EA"/>
    <w:rsid w:val="000C727A"/>
    <w:rsid w:val="000D0AE2"/>
    <w:rsid w:val="000D0B53"/>
    <w:rsid w:val="000D2011"/>
    <w:rsid w:val="000D2787"/>
    <w:rsid w:val="000D3227"/>
    <w:rsid w:val="000D3C77"/>
    <w:rsid w:val="000D792F"/>
    <w:rsid w:val="000E2779"/>
    <w:rsid w:val="000E3185"/>
    <w:rsid w:val="000F0D56"/>
    <w:rsid w:val="000F3B53"/>
    <w:rsid w:val="000F79C2"/>
    <w:rsid w:val="0010516F"/>
    <w:rsid w:val="001058EC"/>
    <w:rsid w:val="001059A5"/>
    <w:rsid w:val="001073CB"/>
    <w:rsid w:val="00112107"/>
    <w:rsid w:val="001144AD"/>
    <w:rsid w:val="0012231E"/>
    <w:rsid w:val="001227C3"/>
    <w:rsid w:val="00130ABE"/>
    <w:rsid w:val="00130DBB"/>
    <w:rsid w:val="0013117D"/>
    <w:rsid w:val="00131CC3"/>
    <w:rsid w:val="00131DE2"/>
    <w:rsid w:val="001326C9"/>
    <w:rsid w:val="00135BDF"/>
    <w:rsid w:val="001444AF"/>
    <w:rsid w:val="00157DC0"/>
    <w:rsid w:val="00166E1D"/>
    <w:rsid w:val="00167B3E"/>
    <w:rsid w:val="0017139E"/>
    <w:rsid w:val="00175654"/>
    <w:rsid w:val="0017673A"/>
    <w:rsid w:val="001835FF"/>
    <w:rsid w:val="00184664"/>
    <w:rsid w:val="00184B83"/>
    <w:rsid w:val="00190A81"/>
    <w:rsid w:val="00193FB0"/>
    <w:rsid w:val="00197B75"/>
    <w:rsid w:val="001A3975"/>
    <w:rsid w:val="001A3EE0"/>
    <w:rsid w:val="001A687B"/>
    <w:rsid w:val="001A7148"/>
    <w:rsid w:val="001B0ABB"/>
    <w:rsid w:val="001B7A16"/>
    <w:rsid w:val="001C13A4"/>
    <w:rsid w:val="001C41B3"/>
    <w:rsid w:val="001D1172"/>
    <w:rsid w:val="001D20B8"/>
    <w:rsid w:val="001D4273"/>
    <w:rsid w:val="001D49F2"/>
    <w:rsid w:val="001E188A"/>
    <w:rsid w:val="001E7CF8"/>
    <w:rsid w:val="001F0822"/>
    <w:rsid w:val="002006A6"/>
    <w:rsid w:val="0020377B"/>
    <w:rsid w:val="002059DD"/>
    <w:rsid w:val="00205A2E"/>
    <w:rsid w:val="002064A5"/>
    <w:rsid w:val="00210E14"/>
    <w:rsid w:val="002172B1"/>
    <w:rsid w:val="00221850"/>
    <w:rsid w:val="00223899"/>
    <w:rsid w:val="00230C42"/>
    <w:rsid w:val="00234C53"/>
    <w:rsid w:val="002412A7"/>
    <w:rsid w:val="00242BD8"/>
    <w:rsid w:val="00244B9B"/>
    <w:rsid w:val="002503D4"/>
    <w:rsid w:val="00255DF1"/>
    <w:rsid w:val="00261E50"/>
    <w:rsid w:val="00261ECA"/>
    <w:rsid w:val="002626FE"/>
    <w:rsid w:val="002652F9"/>
    <w:rsid w:val="00266702"/>
    <w:rsid w:val="002671DA"/>
    <w:rsid w:val="002743C8"/>
    <w:rsid w:val="00275365"/>
    <w:rsid w:val="0027546D"/>
    <w:rsid w:val="00293B9E"/>
    <w:rsid w:val="00294DDE"/>
    <w:rsid w:val="002961DB"/>
    <w:rsid w:val="002A004E"/>
    <w:rsid w:val="002A23E8"/>
    <w:rsid w:val="002A3426"/>
    <w:rsid w:val="002A5099"/>
    <w:rsid w:val="002A5468"/>
    <w:rsid w:val="002A5945"/>
    <w:rsid w:val="002B16DA"/>
    <w:rsid w:val="002C0DB7"/>
    <w:rsid w:val="002D054C"/>
    <w:rsid w:val="002D1883"/>
    <w:rsid w:val="002E4186"/>
    <w:rsid w:val="002F5BB8"/>
    <w:rsid w:val="002F662B"/>
    <w:rsid w:val="002F7416"/>
    <w:rsid w:val="0030061D"/>
    <w:rsid w:val="00305432"/>
    <w:rsid w:val="00306664"/>
    <w:rsid w:val="00311608"/>
    <w:rsid w:val="0031160C"/>
    <w:rsid w:val="00315EA3"/>
    <w:rsid w:val="0032131D"/>
    <w:rsid w:val="003252A1"/>
    <w:rsid w:val="00333A35"/>
    <w:rsid w:val="00334080"/>
    <w:rsid w:val="00341BB0"/>
    <w:rsid w:val="00346380"/>
    <w:rsid w:val="00352655"/>
    <w:rsid w:val="0035533E"/>
    <w:rsid w:val="003563E1"/>
    <w:rsid w:val="00360F09"/>
    <w:rsid w:val="0036326C"/>
    <w:rsid w:val="0037196A"/>
    <w:rsid w:val="003753E3"/>
    <w:rsid w:val="003763BF"/>
    <w:rsid w:val="00387249"/>
    <w:rsid w:val="0039235F"/>
    <w:rsid w:val="003940E1"/>
    <w:rsid w:val="00394BAA"/>
    <w:rsid w:val="00397511"/>
    <w:rsid w:val="003A159B"/>
    <w:rsid w:val="003A1A76"/>
    <w:rsid w:val="003A4483"/>
    <w:rsid w:val="003B3899"/>
    <w:rsid w:val="003B6D19"/>
    <w:rsid w:val="003C47D5"/>
    <w:rsid w:val="003C5904"/>
    <w:rsid w:val="003E1AAF"/>
    <w:rsid w:val="003E393E"/>
    <w:rsid w:val="003E3D04"/>
    <w:rsid w:val="003F1970"/>
    <w:rsid w:val="003F7B77"/>
    <w:rsid w:val="0040128E"/>
    <w:rsid w:val="0040659C"/>
    <w:rsid w:val="00413E82"/>
    <w:rsid w:val="00417699"/>
    <w:rsid w:val="00421518"/>
    <w:rsid w:val="0042352C"/>
    <w:rsid w:val="004269F5"/>
    <w:rsid w:val="00427A54"/>
    <w:rsid w:val="004409BE"/>
    <w:rsid w:val="00443311"/>
    <w:rsid w:val="00446ABA"/>
    <w:rsid w:val="004510D2"/>
    <w:rsid w:val="00452FC0"/>
    <w:rsid w:val="00453486"/>
    <w:rsid w:val="00455416"/>
    <w:rsid w:val="004556C0"/>
    <w:rsid w:val="004632D8"/>
    <w:rsid w:val="00464BEA"/>
    <w:rsid w:val="0046703F"/>
    <w:rsid w:val="00472F9A"/>
    <w:rsid w:val="00472FBE"/>
    <w:rsid w:val="00485E4C"/>
    <w:rsid w:val="004871E4"/>
    <w:rsid w:val="00496415"/>
    <w:rsid w:val="004A1832"/>
    <w:rsid w:val="004A6AD1"/>
    <w:rsid w:val="004B35E8"/>
    <w:rsid w:val="004B4114"/>
    <w:rsid w:val="004C058A"/>
    <w:rsid w:val="004C56CA"/>
    <w:rsid w:val="004C6C29"/>
    <w:rsid w:val="004D314C"/>
    <w:rsid w:val="004D3D79"/>
    <w:rsid w:val="004D748B"/>
    <w:rsid w:val="004E128D"/>
    <w:rsid w:val="004E4D24"/>
    <w:rsid w:val="004E71B2"/>
    <w:rsid w:val="004F3B4E"/>
    <w:rsid w:val="004F44A0"/>
    <w:rsid w:val="00500575"/>
    <w:rsid w:val="0050252E"/>
    <w:rsid w:val="00505EF5"/>
    <w:rsid w:val="00514729"/>
    <w:rsid w:val="00514820"/>
    <w:rsid w:val="00532985"/>
    <w:rsid w:val="00534529"/>
    <w:rsid w:val="005466BA"/>
    <w:rsid w:val="00547921"/>
    <w:rsid w:val="00547CCE"/>
    <w:rsid w:val="005509EF"/>
    <w:rsid w:val="00551748"/>
    <w:rsid w:val="00567607"/>
    <w:rsid w:val="00567A6A"/>
    <w:rsid w:val="00580E48"/>
    <w:rsid w:val="00583CB0"/>
    <w:rsid w:val="005862C8"/>
    <w:rsid w:val="00592EC1"/>
    <w:rsid w:val="005944A4"/>
    <w:rsid w:val="0059534D"/>
    <w:rsid w:val="005A20E8"/>
    <w:rsid w:val="005A3369"/>
    <w:rsid w:val="005A727E"/>
    <w:rsid w:val="005B122A"/>
    <w:rsid w:val="005B5B56"/>
    <w:rsid w:val="005B5FFE"/>
    <w:rsid w:val="005C21EA"/>
    <w:rsid w:val="005C5CF1"/>
    <w:rsid w:val="005C6345"/>
    <w:rsid w:val="005C75D6"/>
    <w:rsid w:val="005E2634"/>
    <w:rsid w:val="005E546A"/>
    <w:rsid w:val="005E549E"/>
    <w:rsid w:val="005E6422"/>
    <w:rsid w:val="005F3CAF"/>
    <w:rsid w:val="005F4944"/>
    <w:rsid w:val="005F53E1"/>
    <w:rsid w:val="005F73C4"/>
    <w:rsid w:val="006053E9"/>
    <w:rsid w:val="0060716F"/>
    <w:rsid w:val="00624842"/>
    <w:rsid w:val="0062619A"/>
    <w:rsid w:val="0063107B"/>
    <w:rsid w:val="006418AB"/>
    <w:rsid w:val="00644B5F"/>
    <w:rsid w:val="00650AD6"/>
    <w:rsid w:val="006515E4"/>
    <w:rsid w:val="0065520F"/>
    <w:rsid w:val="00663E86"/>
    <w:rsid w:val="00665D16"/>
    <w:rsid w:val="00672FFB"/>
    <w:rsid w:val="00675521"/>
    <w:rsid w:val="00676E28"/>
    <w:rsid w:val="006822B1"/>
    <w:rsid w:val="0068251E"/>
    <w:rsid w:val="00682BB7"/>
    <w:rsid w:val="00691E3E"/>
    <w:rsid w:val="0069506F"/>
    <w:rsid w:val="006964B7"/>
    <w:rsid w:val="006A58FA"/>
    <w:rsid w:val="006B1273"/>
    <w:rsid w:val="006B1573"/>
    <w:rsid w:val="006B412E"/>
    <w:rsid w:val="006B5D68"/>
    <w:rsid w:val="006B63F9"/>
    <w:rsid w:val="006B6D64"/>
    <w:rsid w:val="006B7196"/>
    <w:rsid w:val="006C134F"/>
    <w:rsid w:val="006C2637"/>
    <w:rsid w:val="006C5B32"/>
    <w:rsid w:val="006C7F02"/>
    <w:rsid w:val="006D3C81"/>
    <w:rsid w:val="006D3DC8"/>
    <w:rsid w:val="006D6922"/>
    <w:rsid w:val="006D7065"/>
    <w:rsid w:val="006D7986"/>
    <w:rsid w:val="006E536A"/>
    <w:rsid w:val="006E7EEC"/>
    <w:rsid w:val="006F0ED1"/>
    <w:rsid w:val="006F1CF8"/>
    <w:rsid w:val="006F2901"/>
    <w:rsid w:val="006F5E1E"/>
    <w:rsid w:val="006F6ECD"/>
    <w:rsid w:val="007011CE"/>
    <w:rsid w:val="007011DC"/>
    <w:rsid w:val="007029CE"/>
    <w:rsid w:val="00706E21"/>
    <w:rsid w:val="00711974"/>
    <w:rsid w:val="00717D4D"/>
    <w:rsid w:val="00720208"/>
    <w:rsid w:val="00720545"/>
    <w:rsid w:val="007245A8"/>
    <w:rsid w:val="00726BEF"/>
    <w:rsid w:val="00727B20"/>
    <w:rsid w:val="00730512"/>
    <w:rsid w:val="0073594D"/>
    <w:rsid w:val="00736729"/>
    <w:rsid w:val="00737672"/>
    <w:rsid w:val="00740A7D"/>
    <w:rsid w:val="00741F6A"/>
    <w:rsid w:val="00747029"/>
    <w:rsid w:val="007507A6"/>
    <w:rsid w:val="00750F2A"/>
    <w:rsid w:val="007629B8"/>
    <w:rsid w:val="00763686"/>
    <w:rsid w:val="00766C5E"/>
    <w:rsid w:val="00770B8A"/>
    <w:rsid w:val="0077285F"/>
    <w:rsid w:val="00774689"/>
    <w:rsid w:val="0077470D"/>
    <w:rsid w:val="0077682D"/>
    <w:rsid w:val="0079799E"/>
    <w:rsid w:val="007A1547"/>
    <w:rsid w:val="007A3D0F"/>
    <w:rsid w:val="007A6B61"/>
    <w:rsid w:val="007A70AE"/>
    <w:rsid w:val="007B597C"/>
    <w:rsid w:val="007C2DD9"/>
    <w:rsid w:val="007D57D5"/>
    <w:rsid w:val="007E173E"/>
    <w:rsid w:val="007E5590"/>
    <w:rsid w:val="007E6DA5"/>
    <w:rsid w:val="007F524C"/>
    <w:rsid w:val="007F5EE3"/>
    <w:rsid w:val="007F675C"/>
    <w:rsid w:val="00805D4E"/>
    <w:rsid w:val="008100B8"/>
    <w:rsid w:val="008152A9"/>
    <w:rsid w:val="00815614"/>
    <w:rsid w:val="00815AB0"/>
    <w:rsid w:val="00816698"/>
    <w:rsid w:val="00820019"/>
    <w:rsid w:val="00822B8A"/>
    <w:rsid w:val="00823F16"/>
    <w:rsid w:val="00825673"/>
    <w:rsid w:val="008369ED"/>
    <w:rsid w:val="00836A1C"/>
    <w:rsid w:val="00837971"/>
    <w:rsid w:val="00840C83"/>
    <w:rsid w:val="00846E5A"/>
    <w:rsid w:val="00850E07"/>
    <w:rsid w:val="00852233"/>
    <w:rsid w:val="00853CF5"/>
    <w:rsid w:val="008559FF"/>
    <w:rsid w:val="00863802"/>
    <w:rsid w:val="00865209"/>
    <w:rsid w:val="00874B8A"/>
    <w:rsid w:val="008819AD"/>
    <w:rsid w:val="00884753"/>
    <w:rsid w:val="0088511E"/>
    <w:rsid w:val="00886A0C"/>
    <w:rsid w:val="00886CC4"/>
    <w:rsid w:val="0089424D"/>
    <w:rsid w:val="008A370C"/>
    <w:rsid w:val="008B24B7"/>
    <w:rsid w:val="008B39DC"/>
    <w:rsid w:val="008B7DF6"/>
    <w:rsid w:val="008C0D52"/>
    <w:rsid w:val="008C0ED9"/>
    <w:rsid w:val="008C37BE"/>
    <w:rsid w:val="008C3F36"/>
    <w:rsid w:val="008C4FBC"/>
    <w:rsid w:val="008C5EF9"/>
    <w:rsid w:val="008D16E7"/>
    <w:rsid w:val="008D2C03"/>
    <w:rsid w:val="008D2D07"/>
    <w:rsid w:val="008D71F1"/>
    <w:rsid w:val="008D7F34"/>
    <w:rsid w:val="008E0EEF"/>
    <w:rsid w:val="008E22E8"/>
    <w:rsid w:val="008E5DE2"/>
    <w:rsid w:val="008E75A7"/>
    <w:rsid w:val="008F156A"/>
    <w:rsid w:val="008F69A4"/>
    <w:rsid w:val="00912437"/>
    <w:rsid w:val="009228C9"/>
    <w:rsid w:val="009243F9"/>
    <w:rsid w:val="0092738E"/>
    <w:rsid w:val="00927B30"/>
    <w:rsid w:val="00943463"/>
    <w:rsid w:val="009444E3"/>
    <w:rsid w:val="00956BB7"/>
    <w:rsid w:val="00957214"/>
    <w:rsid w:val="00961E5B"/>
    <w:rsid w:val="0098072A"/>
    <w:rsid w:val="009835B2"/>
    <w:rsid w:val="00990A88"/>
    <w:rsid w:val="00990FAC"/>
    <w:rsid w:val="0099211B"/>
    <w:rsid w:val="00997BF6"/>
    <w:rsid w:val="009A0822"/>
    <w:rsid w:val="009B1EEB"/>
    <w:rsid w:val="009B5D24"/>
    <w:rsid w:val="009C0C58"/>
    <w:rsid w:val="009C568E"/>
    <w:rsid w:val="009D1E0D"/>
    <w:rsid w:val="009D3192"/>
    <w:rsid w:val="009D6A8D"/>
    <w:rsid w:val="009D6C21"/>
    <w:rsid w:val="009E004E"/>
    <w:rsid w:val="009E0EE7"/>
    <w:rsid w:val="009E1174"/>
    <w:rsid w:val="00A004EE"/>
    <w:rsid w:val="00A02839"/>
    <w:rsid w:val="00A0519D"/>
    <w:rsid w:val="00A15020"/>
    <w:rsid w:val="00A158D3"/>
    <w:rsid w:val="00A30CEC"/>
    <w:rsid w:val="00A30DD4"/>
    <w:rsid w:val="00A33470"/>
    <w:rsid w:val="00A353E9"/>
    <w:rsid w:val="00A4468B"/>
    <w:rsid w:val="00A54D4E"/>
    <w:rsid w:val="00A552FD"/>
    <w:rsid w:val="00A602CC"/>
    <w:rsid w:val="00A629BC"/>
    <w:rsid w:val="00A630B3"/>
    <w:rsid w:val="00A704D9"/>
    <w:rsid w:val="00A75046"/>
    <w:rsid w:val="00A76440"/>
    <w:rsid w:val="00A76E96"/>
    <w:rsid w:val="00A8256E"/>
    <w:rsid w:val="00A93E5C"/>
    <w:rsid w:val="00A971F8"/>
    <w:rsid w:val="00AA31AD"/>
    <w:rsid w:val="00AA3530"/>
    <w:rsid w:val="00AB0482"/>
    <w:rsid w:val="00AB1FDB"/>
    <w:rsid w:val="00AB2777"/>
    <w:rsid w:val="00AB2D96"/>
    <w:rsid w:val="00AB4188"/>
    <w:rsid w:val="00AB5B8A"/>
    <w:rsid w:val="00AB5DD4"/>
    <w:rsid w:val="00AC0C44"/>
    <w:rsid w:val="00AC3C50"/>
    <w:rsid w:val="00AD070D"/>
    <w:rsid w:val="00AE2622"/>
    <w:rsid w:val="00AE2AB2"/>
    <w:rsid w:val="00AE6694"/>
    <w:rsid w:val="00AF083D"/>
    <w:rsid w:val="00AF43CA"/>
    <w:rsid w:val="00AF553E"/>
    <w:rsid w:val="00B01667"/>
    <w:rsid w:val="00B04E39"/>
    <w:rsid w:val="00B057E0"/>
    <w:rsid w:val="00B0597F"/>
    <w:rsid w:val="00B1358D"/>
    <w:rsid w:val="00B16041"/>
    <w:rsid w:val="00B16A8D"/>
    <w:rsid w:val="00B17346"/>
    <w:rsid w:val="00B22BD0"/>
    <w:rsid w:val="00B24C8B"/>
    <w:rsid w:val="00B25DE9"/>
    <w:rsid w:val="00B30D52"/>
    <w:rsid w:val="00B35CF5"/>
    <w:rsid w:val="00B36612"/>
    <w:rsid w:val="00B378A8"/>
    <w:rsid w:val="00B44DE8"/>
    <w:rsid w:val="00B454ED"/>
    <w:rsid w:val="00B46235"/>
    <w:rsid w:val="00B5061C"/>
    <w:rsid w:val="00B52A9B"/>
    <w:rsid w:val="00B52D66"/>
    <w:rsid w:val="00B52FB4"/>
    <w:rsid w:val="00B5653B"/>
    <w:rsid w:val="00B57FFA"/>
    <w:rsid w:val="00B6094A"/>
    <w:rsid w:val="00B6250F"/>
    <w:rsid w:val="00B6658A"/>
    <w:rsid w:val="00B67D05"/>
    <w:rsid w:val="00B72659"/>
    <w:rsid w:val="00B748A0"/>
    <w:rsid w:val="00B76EC4"/>
    <w:rsid w:val="00B82001"/>
    <w:rsid w:val="00B8483C"/>
    <w:rsid w:val="00B85259"/>
    <w:rsid w:val="00B85657"/>
    <w:rsid w:val="00B86C3B"/>
    <w:rsid w:val="00B91EEB"/>
    <w:rsid w:val="00BA09E1"/>
    <w:rsid w:val="00BA4235"/>
    <w:rsid w:val="00BA69CB"/>
    <w:rsid w:val="00BB06FC"/>
    <w:rsid w:val="00BB16E8"/>
    <w:rsid w:val="00BB19A3"/>
    <w:rsid w:val="00BB3EFC"/>
    <w:rsid w:val="00BB791B"/>
    <w:rsid w:val="00BC6EBB"/>
    <w:rsid w:val="00BC7E8A"/>
    <w:rsid w:val="00BD1E62"/>
    <w:rsid w:val="00BD3C12"/>
    <w:rsid w:val="00BD503E"/>
    <w:rsid w:val="00BE153E"/>
    <w:rsid w:val="00BE4EEC"/>
    <w:rsid w:val="00BF3560"/>
    <w:rsid w:val="00BF4290"/>
    <w:rsid w:val="00BF7970"/>
    <w:rsid w:val="00C01FD7"/>
    <w:rsid w:val="00C066CA"/>
    <w:rsid w:val="00C12BD8"/>
    <w:rsid w:val="00C12D79"/>
    <w:rsid w:val="00C16BFB"/>
    <w:rsid w:val="00C2268C"/>
    <w:rsid w:val="00C2723C"/>
    <w:rsid w:val="00C27D01"/>
    <w:rsid w:val="00C379EF"/>
    <w:rsid w:val="00C518FE"/>
    <w:rsid w:val="00C55134"/>
    <w:rsid w:val="00C63CE1"/>
    <w:rsid w:val="00C65A3B"/>
    <w:rsid w:val="00C75342"/>
    <w:rsid w:val="00C82F60"/>
    <w:rsid w:val="00C836F1"/>
    <w:rsid w:val="00C94C24"/>
    <w:rsid w:val="00C9554D"/>
    <w:rsid w:val="00C972E1"/>
    <w:rsid w:val="00C97512"/>
    <w:rsid w:val="00CA1CC7"/>
    <w:rsid w:val="00CA293F"/>
    <w:rsid w:val="00CA2B5A"/>
    <w:rsid w:val="00CB1414"/>
    <w:rsid w:val="00CB6631"/>
    <w:rsid w:val="00CC785C"/>
    <w:rsid w:val="00CE33A6"/>
    <w:rsid w:val="00CF027D"/>
    <w:rsid w:val="00CF118F"/>
    <w:rsid w:val="00CF425E"/>
    <w:rsid w:val="00CF4EAF"/>
    <w:rsid w:val="00CF5A87"/>
    <w:rsid w:val="00D059E1"/>
    <w:rsid w:val="00D11FCB"/>
    <w:rsid w:val="00D162BF"/>
    <w:rsid w:val="00D25010"/>
    <w:rsid w:val="00D26FCC"/>
    <w:rsid w:val="00D31086"/>
    <w:rsid w:val="00D3279A"/>
    <w:rsid w:val="00D42414"/>
    <w:rsid w:val="00D42E7B"/>
    <w:rsid w:val="00D46793"/>
    <w:rsid w:val="00D47108"/>
    <w:rsid w:val="00D47B73"/>
    <w:rsid w:val="00D514FC"/>
    <w:rsid w:val="00D54DB1"/>
    <w:rsid w:val="00D60778"/>
    <w:rsid w:val="00D620F8"/>
    <w:rsid w:val="00D662C1"/>
    <w:rsid w:val="00D70921"/>
    <w:rsid w:val="00D7758A"/>
    <w:rsid w:val="00D775ED"/>
    <w:rsid w:val="00D871A2"/>
    <w:rsid w:val="00D91AB3"/>
    <w:rsid w:val="00D95B92"/>
    <w:rsid w:val="00D97DC1"/>
    <w:rsid w:val="00DA1690"/>
    <w:rsid w:val="00DA2E02"/>
    <w:rsid w:val="00DA60CD"/>
    <w:rsid w:val="00DA61EF"/>
    <w:rsid w:val="00DB47C5"/>
    <w:rsid w:val="00DB71EA"/>
    <w:rsid w:val="00DC1728"/>
    <w:rsid w:val="00DC401A"/>
    <w:rsid w:val="00DC4493"/>
    <w:rsid w:val="00DC5A30"/>
    <w:rsid w:val="00DD53B8"/>
    <w:rsid w:val="00DF2193"/>
    <w:rsid w:val="00DF66A8"/>
    <w:rsid w:val="00E00BE7"/>
    <w:rsid w:val="00E02FBD"/>
    <w:rsid w:val="00E030B4"/>
    <w:rsid w:val="00E0436A"/>
    <w:rsid w:val="00E04C45"/>
    <w:rsid w:val="00E0603A"/>
    <w:rsid w:val="00E12710"/>
    <w:rsid w:val="00E17DBD"/>
    <w:rsid w:val="00E24219"/>
    <w:rsid w:val="00E259EF"/>
    <w:rsid w:val="00E30193"/>
    <w:rsid w:val="00E34692"/>
    <w:rsid w:val="00E34FCF"/>
    <w:rsid w:val="00E3571A"/>
    <w:rsid w:val="00E36E82"/>
    <w:rsid w:val="00E37357"/>
    <w:rsid w:val="00E4529F"/>
    <w:rsid w:val="00E45648"/>
    <w:rsid w:val="00E4682E"/>
    <w:rsid w:val="00E55A3D"/>
    <w:rsid w:val="00E55DA8"/>
    <w:rsid w:val="00E56780"/>
    <w:rsid w:val="00E605D2"/>
    <w:rsid w:val="00E65563"/>
    <w:rsid w:val="00E67B14"/>
    <w:rsid w:val="00E70825"/>
    <w:rsid w:val="00E738AF"/>
    <w:rsid w:val="00E73A58"/>
    <w:rsid w:val="00E813B4"/>
    <w:rsid w:val="00E87CC9"/>
    <w:rsid w:val="00E90B14"/>
    <w:rsid w:val="00EA4B6A"/>
    <w:rsid w:val="00EB228E"/>
    <w:rsid w:val="00EC363A"/>
    <w:rsid w:val="00EC4B22"/>
    <w:rsid w:val="00ED251C"/>
    <w:rsid w:val="00ED410A"/>
    <w:rsid w:val="00ED5599"/>
    <w:rsid w:val="00ED625B"/>
    <w:rsid w:val="00ED7DBD"/>
    <w:rsid w:val="00EE4AE7"/>
    <w:rsid w:val="00EF20C7"/>
    <w:rsid w:val="00EF46BB"/>
    <w:rsid w:val="00F03100"/>
    <w:rsid w:val="00F07CF4"/>
    <w:rsid w:val="00F17403"/>
    <w:rsid w:val="00F25EE9"/>
    <w:rsid w:val="00F356C3"/>
    <w:rsid w:val="00F434FA"/>
    <w:rsid w:val="00F43796"/>
    <w:rsid w:val="00F51172"/>
    <w:rsid w:val="00F51F4B"/>
    <w:rsid w:val="00F5213C"/>
    <w:rsid w:val="00F57E9B"/>
    <w:rsid w:val="00F60CE6"/>
    <w:rsid w:val="00F61AF4"/>
    <w:rsid w:val="00F6475D"/>
    <w:rsid w:val="00F64FFE"/>
    <w:rsid w:val="00F660BC"/>
    <w:rsid w:val="00F72E88"/>
    <w:rsid w:val="00F80E70"/>
    <w:rsid w:val="00F867E7"/>
    <w:rsid w:val="00F86863"/>
    <w:rsid w:val="00F87C27"/>
    <w:rsid w:val="00F907EB"/>
    <w:rsid w:val="00F90C9A"/>
    <w:rsid w:val="00F9112C"/>
    <w:rsid w:val="00F9438F"/>
    <w:rsid w:val="00F94466"/>
    <w:rsid w:val="00F94FF7"/>
    <w:rsid w:val="00F96121"/>
    <w:rsid w:val="00FA158B"/>
    <w:rsid w:val="00FB3561"/>
    <w:rsid w:val="00FD5F26"/>
    <w:rsid w:val="00FE1E6A"/>
    <w:rsid w:val="00FE3067"/>
    <w:rsid w:val="00FF3083"/>
    <w:rsid w:val="00FF3A9B"/>
    <w:rsid w:val="00FF46CA"/>
    <w:rsid w:val="00FF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2C3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qFormat/>
    <w:rsid w:val="00C2723C"/>
    <w:pPr>
      <w:keepNext/>
      <w:jc w:val="center"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C72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55D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5DA8"/>
  </w:style>
  <w:style w:type="table" w:styleId="a5">
    <w:name w:val="Table Grid"/>
    <w:basedOn w:val="a1"/>
    <w:uiPriority w:val="59"/>
    <w:rsid w:val="004B3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17D4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717D4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93E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rsid w:val="002A342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2A3426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0A2C35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5944A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C727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0C727A"/>
    <w:pPr>
      <w:outlineLvl w:val="9"/>
    </w:pPr>
    <w:rPr>
      <w:lang w:eastAsia="uk-UA"/>
    </w:rPr>
  </w:style>
  <w:style w:type="paragraph" w:styleId="11">
    <w:name w:val="toc 1"/>
    <w:basedOn w:val="a"/>
    <w:next w:val="a"/>
    <w:autoRedefine/>
    <w:uiPriority w:val="39"/>
    <w:rsid w:val="000C727A"/>
  </w:style>
  <w:style w:type="paragraph" w:styleId="20">
    <w:name w:val="toc 2"/>
    <w:basedOn w:val="a"/>
    <w:next w:val="a"/>
    <w:autoRedefine/>
    <w:uiPriority w:val="39"/>
    <w:rsid w:val="000C727A"/>
    <w:pPr>
      <w:ind w:left="240"/>
    </w:pPr>
  </w:style>
  <w:style w:type="paragraph" w:styleId="31">
    <w:name w:val="toc 3"/>
    <w:basedOn w:val="a"/>
    <w:next w:val="a"/>
    <w:autoRedefine/>
    <w:uiPriority w:val="39"/>
    <w:rsid w:val="000C727A"/>
    <w:pPr>
      <w:ind w:left="480"/>
    </w:pPr>
  </w:style>
  <w:style w:type="character" w:styleId="ac">
    <w:name w:val="Hyperlink"/>
    <w:uiPriority w:val="99"/>
    <w:unhideWhenUsed/>
    <w:rsid w:val="000C727A"/>
    <w:rPr>
      <w:color w:val="0000FF"/>
      <w:u w:val="single"/>
    </w:rPr>
  </w:style>
  <w:style w:type="paragraph" w:customStyle="1" w:styleId="rvps2">
    <w:name w:val="rvps2"/>
    <w:basedOn w:val="a"/>
    <w:rsid w:val="00B25DE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B25DE9"/>
  </w:style>
  <w:style w:type="paragraph" w:styleId="ad">
    <w:name w:val="Subtitle"/>
    <w:basedOn w:val="a"/>
    <w:link w:val="ae"/>
    <w:qFormat/>
    <w:rsid w:val="00F90C9A"/>
    <w:pPr>
      <w:ind w:right="-631"/>
      <w:jc w:val="center"/>
    </w:pPr>
    <w:rPr>
      <w:sz w:val="32"/>
      <w:szCs w:val="20"/>
      <w:lang w:val="uk-UA"/>
    </w:rPr>
  </w:style>
  <w:style w:type="character" w:customStyle="1" w:styleId="ae">
    <w:name w:val="Подзаголовок Знак"/>
    <w:basedOn w:val="a0"/>
    <w:link w:val="ad"/>
    <w:rsid w:val="00F90C9A"/>
    <w:rPr>
      <w:sz w:val="32"/>
      <w:lang w:val="uk-UA"/>
    </w:rPr>
  </w:style>
  <w:style w:type="character" w:customStyle="1" w:styleId="af">
    <w:name w:val="Основной текст Знак"/>
    <w:basedOn w:val="a0"/>
    <w:link w:val="af0"/>
    <w:rsid w:val="00F90C9A"/>
    <w:rPr>
      <w:spacing w:val="4"/>
      <w:sz w:val="26"/>
      <w:szCs w:val="26"/>
      <w:shd w:val="clear" w:color="auto" w:fill="FFFFFF"/>
    </w:rPr>
  </w:style>
  <w:style w:type="paragraph" w:styleId="af0">
    <w:name w:val="Body Text"/>
    <w:basedOn w:val="a"/>
    <w:link w:val="af"/>
    <w:rsid w:val="00F90C9A"/>
    <w:pPr>
      <w:widowControl w:val="0"/>
      <w:shd w:val="clear" w:color="auto" w:fill="FFFFFF"/>
      <w:spacing w:before="240" w:after="660" w:line="240" w:lineRule="atLeast"/>
      <w:jc w:val="both"/>
    </w:pPr>
    <w:rPr>
      <w:spacing w:val="4"/>
      <w:sz w:val="26"/>
      <w:szCs w:val="26"/>
    </w:rPr>
  </w:style>
  <w:style w:type="character" w:customStyle="1" w:styleId="12">
    <w:name w:val="Основной текст Знак1"/>
    <w:basedOn w:val="a0"/>
    <w:link w:val="af0"/>
    <w:rsid w:val="00F90C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5440-037F-4A6F-9ABE-BB0D9440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Г Р А М А</vt:lpstr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Г Р А М А</dc:title>
  <dc:creator>Celeron</dc:creator>
  <cp:lastModifiedBy>Користувач Windows</cp:lastModifiedBy>
  <cp:revision>3</cp:revision>
  <cp:lastPrinted>2019-07-08T10:36:00Z</cp:lastPrinted>
  <dcterms:created xsi:type="dcterms:W3CDTF">2019-07-09T08:56:00Z</dcterms:created>
  <dcterms:modified xsi:type="dcterms:W3CDTF">2019-07-11T07:00:00Z</dcterms:modified>
</cp:coreProperties>
</file>