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82" w:rsidRDefault="00EC5D82" w:rsidP="00EC5D82">
      <w:pPr>
        <w:jc w:val="center"/>
      </w:pPr>
      <w:r w:rsidRPr="00EC5D82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82" w:rsidRDefault="00EC5D82" w:rsidP="00EC5D82">
      <w:pPr>
        <w:jc w:val="both"/>
      </w:pPr>
    </w:p>
    <w:p w:rsidR="004A3019" w:rsidRDefault="000364AD" w:rsidP="00EC5D82">
      <w:pPr>
        <w:jc w:val="both"/>
      </w:pPr>
      <w:r>
        <w:t xml:space="preserve">Від </w:t>
      </w:r>
      <w:r w:rsidR="00C11D6B">
        <w:rPr>
          <w:lang w:val="ru-RU"/>
        </w:rPr>
        <w:t>21.10.</w:t>
      </w:r>
      <w:r w:rsidR="00116AD6">
        <w:t>2021</w:t>
      </w:r>
      <w:r w:rsidR="00C11D6B">
        <w:t xml:space="preserve"> </w:t>
      </w:r>
      <w:r w:rsidR="00C11D6B">
        <w:rPr>
          <w:lang w:val="ru-RU"/>
        </w:rPr>
        <w:t>376</w:t>
      </w:r>
    </w:p>
    <w:p w:rsidR="004A3019" w:rsidRDefault="004A3019" w:rsidP="004A3019"/>
    <w:p w:rsidR="00383889" w:rsidRPr="00C11D6B" w:rsidRDefault="00D24C23" w:rsidP="0013773C">
      <w:pPr>
        <w:ind w:right="1016"/>
      </w:pPr>
      <w:r w:rsidRPr="00C11D6B">
        <w:t xml:space="preserve">Про </w:t>
      </w:r>
      <w:r w:rsidR="009F6237" w:rsidRPr="00C11D6B">
        <w:t>коригування тарифів</w:t>
      </w:r>
      <w:r w:rsidR="0013773C" w:rsidRPr="00C11D6B">
        <w:t xml:space="preserve"> на теплову енергію, </w:t>
      </w:r>
      <w:r w:rsidR="0013773C" w:rsidRPr="00C11D6B">
        <w:br/>
        <w:t xml:space="preserve">її  виробництво, транспортування та постачання </w:t>
      </w:r>
      <w:r w:rsidR="0013773C" w:rsidRPr="00C11D6B">
        <w:br/>
        <w:t xml:space="preserve">та послугу з постачання теплової енергії для </w:t>
      </w:r>
      <w:r w:rsidR="0013773C" w:rsidRPr="00C11D6B">
        <w:br/>
        <w:t xml:space="preserve">бюджетних установ та організацій і інших </w:t>
      </w:r>
      <w:r w:rsidR="0013773C" w:rsidRPr="00C11D6B">
        <w:br/>
        <w:t xml:space="preserve">споживачів </w:t>
      </w:r>
      <w:r w:rsidRPr="00C11D6B">
        <w:t>по Канівському</w:t>
      </w:r>
      <w:r w:rsidR="000364AD" w:rsidRPr="00C11D6B">
        <w:t xml:space="preserve"> КПТМ</w:t>
      </w:r>
      <w:r w:rsidR="00763C09" w:rsidRPr="00C11D6B">
        <w:t>»</w:t>
      </w:r>
    </w:p>
    <w:p w:rsidR="00AC5FC7" w:rsidRDefault="00AC5FC7">
      <w:pPr>
        <w:rPr>
          <w:sz w:val="18"/>
        </w:rPr>
      </w:pPr>
    </w:p>
    <w:p w:rsidR="000507B8" w:rsidRDefault="003B2BBD" w:rsidP="00685A1A">
      <w:pPr>
        <w:ind w:firstLine="567"/>
        <w:jc w:val="both"/>
      </w:pPr>
      <w:r>
        <w:t>Відповідно до</w:t>
      </w:r>
      <w:r w:rsidR="004A3019">
        <w:t xml:space="preserve"> ст</w:t>
      </w:r>
      <w:r>
        <w:t>атті</w:t>
      </w:r>
      <w:r w:rsidR="00953C0F">
        <w:t xml:space="preserve"> </w:t>
      </w:r>
      <w:r w:rsidR="007C753F">
        <w:t>28 Закону України</w:t>
      </w:r>
      <w:r w:rsidR="00953C0F">
        <w:t xml:space="preserve"> «</w:t>
      </w:r>
      <w:r w:rsidR="004A3019">
        <w:t>Про місцеве самоврядування в Україні</w:t>
      </w:r>
      <w:r w:rsidR="00953C0F">
        <w:t>»</w:t>
      </w:r>
      <w:r w:rsidR="007C753F">
        <w:t>, пункт</w:t>
      </w:r>
      <w:r>
        <w:t>у</w:t>
      </w:r>
      <w:r w:rsidR="00260461">
        <w:t xml:space="preserve"> 3 </w:t>
      </w:r>
      <w:r w:rsidR="007C753F">
        <w:t>статті</w:t>
      </w:r>
      <w:r w:rsidR="00260461">
        <w:t xml:space="preserve"> 3</w:t>
      </w:r>
      <w:r w:rsidR="00953C0F">
        <w:t xml:space="preserve"> </w:t>
      </w:r>
      <w:r w:rsidR="00A37417">
        <w:t>Закону України «</w:t>
      </w:r>
      <w:r w:rsidR="005B2514">
        <w:t>Про житлово - комунальні послуги»,</w:t>
      </w:r>
      <w:r w:rsidR="00953C0F">
        <w:t xml:space="preserve"> </w:t>
      </w:r>
      <w:r w:rsidR="008B25DD">
        <w:t>статт</w:t>
      </w:r>
      <w:r>
        <w:t>і</w:t>
      </w:r>
      <w:r w:rsidR="008B25DD">
        <w:t xml:space="preserve"> 20 Закону України «Про теплопостачання»,</w:t>
      </w:r>
      <w:r w:rsidR="00953C0F">
        <w:t xml:space="preserve"> </w:t>
      </w:r>
      <w:r w:rsidR="00260461">
        <w:t>постанов КМУ «Про п</w:t>
      </w:r>
      <w:r>
        <w:t>оряд</w:t>
      </w:r>
      <w:r w:rsidR="00260461">
        <w:t>ок</w:t>
      </w:r>
      <w:r w:rsidR="005B2514">
        <w:t xml:space="preserve"> формування тарифів на теплову енергію</w:t>
      </w:r>
      <w:r w:rsidR="00305936">
        <w:t>, її виробництво, транспортування та постачання, послуги з централізованого опал</w:t>
      </w:r>
      <w:r w:rsidR="008B25DD">
        <w:t>ення і постачання гарячої води</w:t>
      </w:r>
      <w:r w:rsidR="00260461">
        <w:t>»</w:t>
      </w:r>
      <w:r w:rsidR="00B37285">
        <w:t xml:space="preserve">, </w:t>
      </w:r>
      <w:r w:rsidR="009116EC">
        <w:t>«Про встановлення граничного розміру плати за абонентське обслуговування у розрахунку на 1 абонента для комунальних послуг, що надаються споживачам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послуг»</w:t>
      </w:r>
      <w:r w:rsidR="00636974">
        <w:t xml:space="preserve">, </w:t>
      </w:r>
      <w:r w:rsidR="00EC5D82">
        <w:t>Меморандуму</w:t>
      </w:r>
      <w:r w:rsidR="00D86E69">
        <w:t xml:space="preserve"> про взаєморозуміння щодо вре</w:t>
      </w:r>
      <w:r w:rsidR="00685A1A">
        <w:t>гулювання проблемних питань у с</w:t>
      </w:r>
      <w:r w:rsidR="00D86E69">
        <w:t>фері постачання теплової енергії та постачання гарячої води в опалювальному періоду 2021 – 2022 рр. укладеного 30.09.2021 між Кабінетом Міністрів України, НАК «Нафтогаз України», Офісом Президента України, ВАОМС «Асоціація міст України» та Палатою місцевих влад Конгресу місцевих та регіональних влад,</w:t>
      </w:r>
      <w:r w:rsidR="009116EC">
        <w:t xml:space="preserve"> </w:t>
      </w:r>
      <w:r w:rsidR="004A3019">
        <w:t>виконавчий комітет Канівської міської ради</w:t>
      </w:r>
    </w:p>
    <w:p w:rsidR="00B37285" w:rsidRDefault="00B37285"/>
    <w:p w:rsidR="002B5144" w:rsidRDefault="004A3019">
      <w:r>
        <w:t>ВИРІШИВ:</w:t>
      </w:r>
    </w:p>
    <w:p w:rsidR="00B37285" w:rsidRDefault="00B37285"/>
    <w:p w:rsidR="002A7BFE" w:rsidRPr="002A7BFE" w:rsidRDefault="00953C0F" w:rsidP="002A7BFE">
      <w:pPr>
        <w:pStyle w:val="a9"/>
        <w:numPr>
          <w:ilvl w:val="0"/>
          <w:numId w:val="9"/>
        </w:numPr>
        <w:ind w:left="0" w:firstLine="567"/>
        <w:jc w:val="both"/>
        <w:rPr>
          <w:lang w:val="uk-UA"/>
        </w:rPr>
      </w:pPr>
      <w:r>
        <w:rPr>
          <w:lang w:val="uk-UA"/>
        </w:rPr>
        <w:t>Провести коригування та в</w:t>
      </w:r>
      <w:r w:rsidR="00834480" w:rsidRPr="002A7BFE">
        <w:rPr>
          <w:lang w:val="uk-UA"/>
        </w:rPr>
        <w:t xml:space="preserve">становити тарифи по Канівському комунальному підприємству теплових мереж для бюджетних </w:t>
      </w:r>
      <w:r w:rsidR="009F6237" w:rsidRPr="002A7BFE">
        <w:rPr>
          <w:lang w:val="uk-UA"/>
        </w:rPr>
        <w:t xml:space="preserve">установ та організацій і інших </w:t>
      </w:r>
      <w:r w:rsidR="002A7BFE" w:rsidRPr="002A7BFE">
        <w:rPr>
          <w:lang w:val="uk-UA"/>
        </w:rPr>
        <w:t>споживачів в розмірах</w:t>
      </w:r>
      <w:r w:rsidR="009F6237" w:rsidRPr="002A7BFE">
        <w:rPr>
          <w:lang w:val="uk-UA"/>
        </w:rPr>
        <w:t>:</w:t>
      </w:r>
    </w:p>
    <w:p w:rsidR="002A7BFE" w:rsidRPr="002A7BFE" w:rsidRDefault="002A7BFE" w:rsidP="002A7BFE">
      <w:pPr>
        <w:jc w:val="both"/>
      </w:pPr>
    </w:p>
    <w:p w:rsidR="00AE17AE" w:rsidRPr="002A7BFE" w:rsidRDefault="009F6237" w:rsidP="004B0970">
      <w:pPr>
        <w:ind w:firstLine="567"/>
        <w:jc w:val="both"/>
      </w:pPr>
      <w:r w:rsidRPr="002A7BFE">
        <w:t>1.1. Для потреб бюджетних установ та організацій :</w:t>
      </w:r>
    </w:p>
    <w:p w:rsidR="009F6237" w:rsidRPr="002A7BFE" w:rsidRDefault="009F6237" w:rsidP="004B0970">
      <w:pPr>
        <w:ind w:firstLine="567"/>
        <w:jc w:val="both"/>
      </w:pPr>
      <w:proofErr w:type="spellStart"/>
      <w:r w:rsidRPr="002A7BFE">
        <w:t>одноставковій</w:t>
      </w:r>
      <w:proofErr w:type="spellEnd"/>
      <w:r w:rsidRPr="002A7BFE">
        <w:t xml:space="preserve"> тариф  на теплову енергію 3084,04 грн./</w:t>
      </w:r>
      <w:proofErr w:type="spellStart"/>
      <w:r w:rsidRPr="002A7BFE">
        <w:t>Гкал</w:t>
      </w:r>
      <w:proofErr w:type="spellEnd"/>
      <w:r w:rsidRPr="002A7BFE">
        <w:t xml:space="preserve"> (без ПДВ) за такими складовими :</w:t>
      </w:r>
    </w:p>
    <w:p w:rsidR="009F6237" w:rsidRPr="002A7BFE" w:rsidRDefault="009F6237" w:rsidP="004B0970">
      <w:pPr>
        <w:ind w:firstLine="567"/>
        <w:jc w:val="both"/>
      </w:pPr>
      <w:r w:rsidRPr="002A7BFE">
        <w:t>тариф на виробництво теплової енергії – 2</w:t>
      </w:r>
      <w:r w:rsidR="009C4CD7">
        <w:t>472,71</w:t>
      </w:r>
      <w:r w:rsidRPr="002A7BFE">
        <w:t xml:space="preserve"> грн./</w:t>
      </w:r>
      <w:proofErr w:type="spellStart"/>
      <w:r w:rsidRPr="002A7BFE">
        <w:t>Гкал</w:t>
      </w:r>
      <w:proofErr w:type="spellEnd"/>
      <w:r w:rsidRPr="002A7BFE">
        <w:t xml:space="preserve"> ;</w:t>
      </w:r>
    </w:p>
    <w:p w:rsidR="009F6237" w:rsidRPr="002A7BFE" w:rsidRDefault="009F6237" w:rsidP="004B0970">
      <w:pPr>
        <w:ind w:firstLine="567"/>
        <w:jc w:val="both"/>
      </w:pPr>
      <w:r w:rsidRPr="002A7BFE">
        <w:t xml:space="preserve">тариф на транспортування теплової енергії – </w:t>
      </w:r>
      <w:r w:rsidR="009C4CD7">
        <w:t>578,60</w:t>
      </w:r>
      <w:r w:rsidRPr="002A7BFE">
        <w:t xml:space="preserve"> грн./</w:t>
      </w:r>
      <w:proofErr w:type="spellStart"/>
      <w:r w:rsidRPr="002A7BFE">
        <w:t>Гкал</w:t>
      </w:r>
      <w:proofErr w:type="spellEnd"/>
      <w:r w:rsidRPr="002A7BFE">
        <w:t xml:space="preserve"> ;</w:t>
      </w:r>
    </w:p>
    <w:p w:rsidR="009F6237" w:rsidRPr="002A7BFE" w:rsidRDefault="009F6237" w:rsidP="004B0970">
      <w:pPr>
        <w:ind w:firstLine="567"/>
        <w:jc w:val="both"/>
      </w:pPr>
      <w:r w:rsidRPr="002A7BFE">
        <w:t>тариф на постачання теплової енергії – 32,</w:t>
      </w:r>
      <w:r w:rsidR="009C4CD7">
        <w:t>73</w:t>
      </w:r>
      <w:r w:rsidRPr="002A7BFE">
        <w:t xml:space="preserve"> грн./</w:t>
      </w:r>
      <w:proofErr w:type="spellStart"/>
      <w:r w:rsidRPr="002A7BFE">
        <w:t>Гкал</w:t>
      </w:r>
      <w:proofErr w:type="spellEnd"/>
      <w:r w:rsidR="00D866C4" w:rsidRPr="002A7BFE">
        <w:t xml:space="preserve"> ;</w:t>
      </w:r>
    </w:p>
    <w:p w:rsidR="002A7BFE" w:rsidRPr="002A7BFE" w:rsidRDefault="002A7BFE" w:rsidP="004B0970">
      <w:pPr>
        <w:ind w:firstLine="567"/>
        <w:jc w:val="both"/>
      </w:pPr>
    </w:p>
    <w:p w:rsidR="00D866C4" w:rsidRPr="002A7BFE" w:rsidRDefault="00D866C4" w:rsidP="002A7BFE">
      <w:pPr>
        <w:ind w:firstLine="284"/>
        <w:jc w:val="both"/>
      </w:pPr>
      <w:r w:rsidRPr="002A7BFE">
        <w:t>Тариф на послугу з постачання теплової енергії – 3700,85 грн./</w:t>
      </w:r>
      <w:proofErr w:type="spellStart"/>
      <w:r w:rsidRPr="002A7BFE">
        <w:t>Гкал</w:t>
      </w:r>
      <w:proofErr w:type="spellEnd"/>
      <w:r w:rsidRPr="002A7BFE">
        <w:t xml:space="preserve"> з ПДВ</w:t>
      </w:r>
    </w:p>
    <w:p w:rsidR="002A7BFE" w:rsidRPr="002A7BFE" w:rsidRDefault="002A7BFE" w:rsidP="004B0970">
      <w:pPr>
        <w:ind w:firstLine="567"/>
        <w:jc w:val="both"/>
      </w:pPr>
    </w:p>
    <w:p w:rsidR="00D866C4" w:rsidRPr="002A7BFE" w:rsidRDefault="00D866C4" w:rsidP="00D866C4">
      <w:pPr>
        <w:ind w:firstLine="567"/>
        <w:jc w:val="both"/>
      </w:pPr>
      <w:r w:rsidRPr="002A7BFE">
        <w:t>1.2.Для потреб інших споживачів:</w:t>
      </w:r>
    </w:p>
    <w:p w:rsidR="00D866C4" w:rsidRPr="002A7BFE" w:rsidRDefault="00D866C4" w:rsidP="00D866C4">
      <w:pPr>
        <w:ind w:firstLine="567"/>
        <w:jc w:val="both"/>
      </w:pPr>
      <w:proofErr w:type="spellStart"/>
      <w:r w:rsidRPr="002A7BFE">
        <w:t>одноставковій</w:t>
      </w:r>
      <w:proofErr w:type="spellEnd"/>
      <w:r w:rsidRPr="002A7BFE">
        <w:t xml:space="preserve"> тариф  на теплову енергію 4184,50 грн./</w:t>
      </w:r>
      <w:proofErr w:type="spellStart"/>
      <w:r w:rsidRPr="002A7BFE">
        <w:t>Гкал</w:t>
      </w:r>
      <w:proofErr w:type="spellEnd"/>
      <w:r w:rsidRPr="002A7BFE">
        <w:t xml:space="preserve"> (без ПДВ) за такими складовими:</w:t>
      </w:r>
    </w:p>
    <w:p w:rsidR="00D866C4" w:rsidRPr="002A7BFE" w:rsidRDefault="00D866C4" w:rsidP="00D866C4">
      <w:pPr>
        <w:ind w:firstLine="567"/>
        <w:jc w:val="both"/>
      </w:pPr>
      <w:r w:rsidRPr="002A7BFE">
        <w:lastRenderedPageBreak/>
        <w:t>тариф на виробництво теплової енергії – 3</w:t>
      </w:r>
      <w:r w:rsidR="009C4CD7">
        <w:t>432,20</w:t>
      </w:r>
      <w:r w:rsidRPr="002A7BFE">
        <w:t xml:space="preserve"> грн./</w:t>
      </w:r>
      <w:proofErr w:type="spellStart"/>
      <w:r w:rsidRPr="002A7BFE">
        <w:t>Гкал</w:t>
      </w:r>
      <w:proofErr w:type="spellEnd"/>
      <w:r w:rsidRPr="002A7BFE">
        <w:t xml:space="preserve"> ;</w:t>
      </w:r>
    </w:p>
    <w:p w:rsidR="00D866C4" w:rsidRPr="002A7BFE" w:rsidRDefault="00D866C4" w:rsidP="00D866C4">
      <w:pPr>
        <w:ind w:firstLine="567"/>
        <w:jc w:val="both"/>
      </w:pPr>
      <w:r w:rsidRPr="002A7BFE">
        <w:t xml:space="preserve">тариф на транспортування теплової енергії – </w:t>
      </w:r>
      <w:r w:rsidR="009C4CD7">
        <w:t>719,57</w:t>
      </w:r>
      <w:r w:rsidRPr="002A7BFE">
        <w:t xml:space="preserve"> грн./</w:t>
      </w:r>
      <w:proofErr w:type="spellStart"/>
      <w:r w:rsidRPr="002A7BFE">
        <w:t>Гкал</w:t>
      </w:r>
      <w:proofErr w:type="spellEnd"/>
      <w:r w:rsidRPr="002A7BFE">
        <w:t xml:space="preserve"> ;</w:t>
      </w:r>
    </w:p>
    <w:p w:rsidR="00D866C4" w:rsidRPr="002A7BFE" w:rsidRDefault="00D866C4" w:rsidP="00D866C4">
      <w:pPr>
        <w:ind w:firstLine="567"/>
        <w:jc w:val="both"/>
      </w:pPr>
      <w:r w:rsidRPr="002A7BFE">
        <w:t>тариф на постачання теплової енергії – 32,</w:t>
      </w:r>
      <w:r w:rsidR="009C4CD7">
        <w:t>73</w:t>
      </w:r>
      <w:r w:rsidRPr="002A7BFE">
        <w:t xml:space="preserve"> грн./</w:t>
      </w:r>
      <w:proofErr w:type="spellStart"/>
      <w:r w:rsidRPr="002A7BFE">
        <w:t>Гкал</w:t>
      </w:r>
      <w:proofErr w:type="spellEnd"/>
      <w:r w:rsidRPr="002A7BFE">
        <w:t xml:space="preserve"> ;</w:t>
      </w:r>
    </w:p>
    <w:p w:rsidR="00D866C4" w:rsidRPr="002A7BFE" w:rsidRDefault="00D866C4" w:rsidP="002A7BFE">
      <w:pPr>
        <w:ind w:firstLine="284"/>
        <w:jc w:val="both"/>
      </w:pPr>
      <w:r w:rsidRPr="002A7BFE">
        <w:t>Тариф на послугу з постачання теплової енергії –  5021,40 грн./</w:t>
      </w:r>
      <w:proofErr w:type="spellStart"/>
      <w:r w:rsidRPr="002A7BFE">
        <w:t>Гкал</w:t>
      </w:r>
      <w:proofErr w:type="spellEnd"/>
      <w:r w:rsidRPr="002A7BFE">
        <w:t xml:space="preserve"> з ПДВ</w:t>
      </w:r>
    </w:p>
    <w:p w:rsidR="002A7BFE" w:rsidRPr="002A7BFE" w:rsidRDefault="002A7BFE" w:rsidP="002A7BFE">
      <w:pPr>
        <w:ind w:firstLine="284"/>
        <w:jc w:val="both"/>
      </w:pPr>
    </w:p>
    <w:p w:rsidR="00D866C4" w:rsidRPr="002A7BFE" w:rsidRDefault="0015526C" w:rsidP="002A7BFE">
      <w:pPr>
        <w:pStyle w:val="a9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2A7BFE">
        <w:rPr>
          <w:lang w:val="uk-UA"/>
        </w:rPr>
        <w:t>Встановити Канівському комунальному підприємству теплових мереж структуру тарифів на теплову енергію, її виробництво, транспортування, постачання, послуги з постачання теплової енергії згідно з додатком.</w:t>
      </w:r>
    </w:p>
    <w:p w:rsidR="002A7BFE" w:rsidRPr="002A7BFE" w:rsidRDefault="002A7BFE" w:rsidP="002A7BFE">
      <w:pPr>
        <w:pStyle w:val="a9"/>
        <w:ind w:left="567"/>
        <w:jc w:val="both"/>
        <w:rPr>
          <w:lang w:val="uk-UA"/>
        </w:rPr>
      </w:pPr>
    </w:p>
    <w:p w:rsidR="002A7BFE" w:rsidRPr="002A7BFE" w:rsidRDefault="002A7BFE" w:rsidP="002A7BFE">
      <w:pPr>
        <w:pStyle w:val="a9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2A7BFE">
        <w:rPr>
          <w:lang w:val="uk-UA"/>
        </w:rPr>
        <w:t>Встановити тариф на теплову енергію, її виробництво, транспортування, постачання, послуги з постачання теплової енергії  терміном на один рік з 01 жовтня 2021 по 30 вересня 2022.</w:t>
      </w:r>
      <w:bookmarkStart w:id="0" w:name="_GoBack"/>
      <w:bookmarkEnd w:id="0"/>
    </w:p>
    <w:p w:rsidR="002A7BFE" w:rsidRPr="002A7BFE" w:rsidRDefault="002A7BFE" w:rsidP="002A7BFE">
      <w:pPr>
        <w:pStyle w:val="a9"/>
        <w:rPr>
          <w:lang w:val="uk-UA"/>
        </w:rPr>
      </w:pPr>
    </w:p>
    <w:p w:rsidR="002A7BFE" w:rsidRPr="002A7BFE" w:rsidRDefault="002A7BFE" w:rsidP="002A7BFE">
      <w:pPr>
        <w:pStyle w:val="a9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2A7BFE">
        <w:rPr>
          <w:lang w:val="uk-UA"/>
        </w:rPr>
        <w:t xml:space="preserve">Підпункт 1.2 пункту 1 рішення виконавчого комітету Канівської міської ради від 08.09.2021 №307 «Про встановлення тарифів на теплову енергію,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 визнати таким, що втратило чинність. </w:t>
      </w:r>
    </w:p>
    <w:p w:rsidR="002A7BFE" w:rsidRPr="002A7BFE" w:rsidRDefault="002A7BFE" w:rsidP="002A7BFE">
      <w:pPr>
        <w:jc w:val="both"/>
      </w:pPr>
    </w:p>
    <w:p w:rsidR="002A7BFE" w:rsidRPr="002A7BFE" w:rsidRDefault="00B21FAC" w:rsidP="002A7BFE">
      <w:pPr>
        <w:pStyle w:val="a9"/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2A7BFE">
        <w:rPr>
          <w:lang w:val="uk-UA"/>
        </w:rPr>
        <w:t>Контроль за виконанням</w:t>
      </w:r>
      <w:r w:rsidR="002A7BFE">
        <w:rPr>
          <w:lang w:val="uk-UA"/>
        </w:rPr>
        <w:t xml:space="preserve"> </w:t>
      </w:r>
      <w:r w:rsidR="00B069FA" w:rsidRPr="002A7BFE">
        <w:rPr>
          <w:lang w:val="uk-UA"/>
        </w:rPr>
        <w:t xml:space="preserve">даного рішення покласти на </w:t>
      </w:r>
      <w:r w:rsidR="00E55CC6" w:rsidRPr="002A7BFE">
        <w:rPr>
          <w:lang w:val="uk-UA"/>
        </w:rPr>
        <w:t>заступника міського голови</w:t>
      </w:r>
      <w:r w:rsidR="002A7BFE" w:rsidRPr="002A7BFE">
        <w:rPr>
          <w:lang w:val="uk-UA"/>
        </w:rPr>
        <w:t xml:space="preserve"> </w:t>
      </w:r>
      <w:r w:rsidR="00E55CC6" w:rsidRPr="002A7BFE">
        <w:rPr>
          <w:lang w:val="uk-UA"/>
        </w:rPr>
        <w:t>Москаленко Г.М..</w:t>
      </w:r>
    </w:p>
    <w:p w:rsidR="00B069FA" w:rsidRPr="002A7BFE" w:rsidRDefault="00B069FA" w:rsidP="00B069FA">
      <w:pPr>
        <w:pStyle w:val="a6"/>
        <w:ind w:left="360"/>
      </w:pPr>
    </w:p>
    <w:p w:rsidR="00B069FA" w:rsidRPr="002A7BFE" w:rsidRDefault="00B069FA" w:rsidP="00B069FA">
      <w:pPr>
        <w:pStyle w:val="a6"/>
        <w:ind w:left="360"/>
      </w:pPr>
    </w:p>
    <w:p w:rsidR="00B069FA" w:rsidRPr="002A7BFE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2A7BFE">
        <w:rPr>
          <w:lang w:val="uk-UA"/>
        </w:rPr>
        <w:t>Міський голова</w:t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  <w:t>Ігор РЕНЬКАС</w:t>
      </w:r>
    </w:p>
    <w:p w:rsidR="000F4DE6" w:rsidRPr="002A7BFE" w:rsidRDefault="00175580" w:rsidP="000F4DE6">
      <w:pPr>
        <w:jc w:val="both"/>
      </w:pPr>
      <w:r w:rsidRPr="002A7BFE">
        <w:t>Керуючий справами</w:t>
      </w:r>
      <w:r w:rsidRPr="002A7BFE">
        <w:tab/>
      </w:r>
      <w:r w:rsidRPr="002A7BFE">
        <w:tab/>
      </w:r>
      <w:r w:rsidRPr="002A7BFE">
        <w:tab/>
      </w:r>
      <w:r w:rsidRPr="002A7BFE">
        <w:tab/>
      </w:r>
      <w:r w:rsidRPr="002A7BFE">
        <w:tab/>
      </w:r>
      <w:r w:rsidRPr="002A7BFE">
        <w:tab/>
      </w:r>
      <w:r w:rsidRPr="002A7BFE">
        <w:tab/>
        <w:t>Володимир СВЯТЕЛИК</w:t>
      </w:r>
    </w:p>
    <w:p w:rsidR="000F4DE6" w:rsidRPr="002A7BFE" w:rsidRDefault="000F4DE6" w:rsidP="00B069FA">
      <w:pPr>
        <w:pStyle w:val="a3"/>
        <w:tabs>
          <w:tab w:val="left" w:pos="708"/>
        </w:tabs>
        <w:spacing w:line="360" w:lineRule="auto"/>
        <w:rPr>
          <w:b/>
          <w:lang w:val="uk-UA"/>
        </w:rPr>
      </w:pPr>
    </w:p>
    <w:p w:rsidR="00B069FA" w:rsidRPr="00C11D6B" w:rsidRDefault="00B069FA" w:rsidP="00B069FA">
      <w:pPr>
        <w:pStyle w:val="a3"/>
        <w:tabs>
          <w:tab w:val="left" w:pos="708"/>
        </w:tabs>
        <w:spacing w:line="360" w:lineRule="auto"/>
        <w:rPr>
          <w:lang w:val="uk-UA"/>
        </w:rPr>
      </w:pPr>
      <w:r w:rsidRPr="00C11D6B">
        <w:rPr>
          <w:lang w:val="uk-UA"/>
        </w:rPr>
        <w:t>ПОГОДЖЕНО:</w:t>
      </w:r>
    </w:p>
    <w:p w:rsidR="00CB07BB" w:rsidRPr="002A7BFE" w:rsidRDefault="00CB07BB" w:rsidP="00CB07BB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2A7BFE">
        <w:rPr>
          <w:lang w:val="uk-UA"/>
        </w:rPr>
        <w:t>Заступник міського голови</w:t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  <w:t>Галина МОСКАЛЕНКО</w:t>
      </w:r>
    </w:p>
    <w:p w:rsidR="00B069FA" w:rsidRPr="002A7BFE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2A7BFE">
        <w:rPr>
          <w:lang w:val="uk-UA"/>
        </w:rPr>
        <w:t xml:space="preserve">Начальник </w:t>
      </w:r>
      <w:r w:rsidR="00CB07BB" w:rsidRPr="002A7BFE">
        <w:rPr>
          <w:lang w:val="uk-UA"/>
        </w:rPr>
        <w:t xml:space="preserve">відділу з питань житлово – комунального </w:t>
      </w:r>
      <w:r w:rsidR="00CB07BB" w:rsidRPr="002A7BFE">
        <w:rPr>
          <w:lang w:val="uk-UA"/>
        </w:rPr>
        <w:br/>
        <w:t>господарства інфраструктури та енергоефективності</w:t>
      </w:r>
      <w:r w:rsidRPr="002A7BFE">
        <w:rPr>
          <w:lang w:val="uk-UA"/>
        </w:rPr>
        <w:tab/>
      </w:r>
      <w:r w:rsidRPr="002A7BFE">
        <w:rPr>
          <w:lang w:val="uk-UA"/>
        </w:rPr>
        <w:tab/>
        <w:t>Тетяна СТАДНИК</w:t>
      </w:r>
    </w:p>
    <w:p w:rsidR="00B069FA" w:rsidRPr="002A7BFE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2A7BFE">
        <w:rPr>
          <w:lang w:val="uk-UA"/>
        </w:rPr>
        <w:t>Директор ККПТМ</w:t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  <w:t>Василь КОЛОМІЄЦЬ</w:t>
      </w:r>
    </w:p>
    <w:p w:rsidR="00B069FA" w:rsidRPr="002A7BFE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2A7BFE">
        <w:rPr>
          <w:lang w:val="uk-UA"/>
        </w:rPr>
        <w:t>Начальник юридичного відділу</w:t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</w:r>
      <w:r w:rsidRPr="002A7BFE">
        <w:rPr>
          <w:lang w:val="uk-UA"/>
        </w:rPr>
        <w:tab/>
        <w:t>Наталія ЛІСОВА</w:t>
      </w:r>
    </w:p>
    <w:p w:rsidR="00926D9C" w:rsidRDefault="00926D9C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  <w:sectPr w:rsidR="00926D9C" w:rsidSect="002A7BFE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D67319" w:rsidRDefault="00D67319" w:rsidP="004162DF">
      <w:pPr>
        <w:ind w:left="6804"/>
        <w:jc w:val="both"/>
      </w:pPr>
      <w:r>
        <w:lastRenderedPageBreak/>
        <w:t xml:space="preserve">Додаток </w:t>
      </w:r>
    </w:p>
    <w:p w:rsidR="00D67319" w:rsidRDefault="004162DF" w:rsidP="004162DF">
      <w:pPr>
        <w:ind w:left="6804"/>
        <w:jc w:val="both"/>
      </w:pPr>
      <w:r>
        <w:t xml:space="preserve">до рішення </w:t>
      </w:r>
      <w:r w:rsidR="00D67319">
        <w:t>виконкому</w:t>
      </w:r>
    </w:p>
    <w:p w:rsidR="00D67319" w:rsidRDefault="00D67319" w:rsidP="004162DF">
      <w:pPr>
        <w:ind w:left="6804"/>
        <w:jc w:val="both"/>
      </w:pPr>
      <w:r>
        <w:t>від _______2021 №___</w:t>
      </w:r>
    </w:p>
    <w:p w:rsidR="00D67319" w:rsidRDefault="00D67319" w:rsidP="00D67319">
      <w:pPr>
        <w:jc w:val="center"/>
        <w:rPr>
          <w:b/>
        </w:rPr>
      </w:pPr>
    </w:p>
    <w:p w:rsidR="00D67319" w:rsidRDefault="00D67319" w:rsidP="00D67319">
      <w:pPr>
        <w:rPr>
          <w:b/>
        </w:rPr>
      </w:pPr>
      <w:r w:rsidRPr="009F05CB">
        <w:rPr>
          <w:b/>
        </w:rPr>
        <w:t xml:space="preserve">Структура </w:t>
      </w:r>
      <w:r>
        <w:rPr>
          <w:b/>
        </w:rPr>
        <w:t xml:space="preserve">одноставкових тарифів на теплову енергію та послугу з постачання теплової енергії для бюджетних установ та організацій і інших споживачів по </w:t>
      </w:r>
      <w:r w:rsidRPr="009F05CB">
        <w:rPr>
          <w:b/>
        </w:rPr>
        <w:t>Канівськ</w:t>
      </w:r>
      <w:r>
        <w:rPr>
          <w:b/>
        </w:rPr>
        <w:t>ому</w:t>
      </w:r>
      <w:r w:rsidRPr="009F05CB">
        <w:rPr>
          <w:b/>
        </w:rPr>
        <w:t xml:space="preserve"> комунальн</w:t>
      </w:r>
      <w:r>
        <w:rPr>
          <w:b/>
        </w:rPr>
        <w:t>ому</w:t>
      </w:r>
      <w:r w:rsidRPr="009F05CB">
        <w:rPr>
          <w:b/>
        </w:rPr>
        <w:t xml:space="preserve"> підприємств</w:t>
      </w:r>
      <w:r>
        <w:rPr>
          <w:b/>
        </w:rPr>
        <w:t>у</w:t>
      </w:r>
      <w:r w:rsidRPr="009F05CB">
        <w:rPr>
          <w:b/>
        </w:rPr>
        <w:t xml:space="preserve"> теплових мереж</w:t>
      </w:r>
      <w:r>
        <w:rPr>
          <w:b/>
        </w:rPr>
        <w:t xml:space="preserve"> на 2021- 2022 роки</w:t>
      </w:r>
    </w:p>
    <w:p w:rsidR="00D67319" w:rsidRDefault="00D67319" w:rsidP="00D67319">
      <w:pPr>
        <w:jc w:val="right"/>
        <w:rPr>
          <w:b/>
        </w:rPr>
      </w:pPr>
      <w:r w:rsidRPr="005B6203">
        <w:rPr>
          <w:b/>
        </w:rPr>
        <w:t>Без ПДВ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3341"/>
        <w:gridCol w:w="1034"/>
        <w:gridCol w:w="1157"/>
        <w:gridCol w:w="1112"/>
        <w:gridCol w:w="1157"/>
        <w:gridCol w:w="1367"/>
      </w:tblGrid>
      <w:tr w:rsidR="00D67319" w:rsidRPr="004D6E5D" w:rsidTr="00CF799E">
        <w:tc>
          <w:tcPr>
            <w:tcW w:w="695" w:type="dxa"/>
            <w:vMerge w:val="restart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19" w:type="dxa"/>
            <w:vMerge w:val="restart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Найменування показників</w:t>
            </w:r>
          </w:p>
        </w:tc>
        <w:tc>
          <w:tcPr>
            <w:tcW w:w="2213" w:type="dxa"/>
            <w:gridSpan w:val="2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Для потреб бюджетних установ</w:t>
            </w:r>
          </w:p>
        </w:tc>
        <w:tc>
          <w:tcPr>
            <w:tcW w:w="2310" w:type="dxa"/>
            <w:gridSpan w:val="2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Для потреб інших споживачів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Для потреб релігійних організацій</w:t>
            </w:r>
          </w:p>
        </w:tc>
      </w:tr>
      <w:tr w:rsidR="00D67319" w:rsidRPr="004D6E5D" w:rsidTr="00CF799E">
        <w:tc>
          <w:tcPr>
            <w:tcW w:w="695" w:type="dxa"/>
            <w:vMerge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9" w:type="dxa"/>
            <w:vMerge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тис. грн..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грн./</w:t>
            </w:r>
            <w:proofErr w:type="spellStart"/>
            <w:r w:rsidRPr="004D6E5D">
              <w:rPr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тис. грн..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грн./</w:t>
            </w:r>
            <w:proofErr w:type="spellStart"/>
            <w:r w:rsidRPr="004D6E5D">
              <w:rPr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грн./</w:t>
            </w:r>
            <w:proofErr w:type="spellStart"/>
            <w:r w:rsidRPr="004D6E5D">
              <w:rPr>
                <w:sz w:val="20"/>
                <w:szCs w:val="20"/>
              </w:rPr>
              <w:t>Гкал</w:t>
            </w:r>
            <w:proofErr w:type="spellEnd"/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7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Повна собівартість, у т.ч.: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18512,74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2969,58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4264,55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4070,04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1.1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витрати на паливо, у т.ч.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14054,87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2254,51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3515,30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3354,97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1.1.1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природний газ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14054,87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2254,51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3515,30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3354,97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1.1.2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інше паливо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1.2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 xml:space="preserve">витрати на покупну теплову енергію 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1.3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 xml:space="preserve">собівартість виробництва теплової енергії власних ТЕЦ, ТЕС, АЕС, </w:t>
            </w:r>
            <w:proofErr w:type="spellStart"/>
            <w:r w:rsidRPr="004D6E5D">
              <w:rPr>
                <w:sz w:val="20"/>
                <w:szCs w:val="20"/>
              </w:rPr>
              <w:t>КГУ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1.4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 xml:space="preserve">витрати на електроенергію без потреб власних ТЕЦ, ТЕС, АЕС, </w:t>
            </w:r>
            <w:proofErr w:type="spellStart"/>
            <w:r w:rsidRPr="004D6E5D">
              <w:rPr>
                <w:sz w:val="20"/>
                <w:szCs w:val="20"/>
              </w:rPr>
              <w:t>КГУ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648,79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104,07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109,05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104,07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1.5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транспортування теплової енергії мережами інших підприємств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1.6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 xml:space="preserve">витрати на оплату праці з відрахуваннями на соціальні заходи без потреб власних ТЕЦ, ТЕС, АЕС, </w:t>
            </w:r>
            <w:proofErr w:type="spellStart"/>
            <w:r w:rsidRPr="004D6E5D">
              <w:rPr>
                <w:sz w:val="20"/>
                <w:szCs w:val="20"/>
              </w:rPr>
              <w:t>КГУ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3295,85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528,68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553,94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528,68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1.7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 xml:space="preserve">амортизаційні відрахування без потреб власних ТЕЦ, ТЕС, АЕС, </w:t>
            </w:r>
            <w:proofErr w:type="spellStart"/>
            <w:r w:rsidRPr="004D6E5D">
              <w:rPr>
                <w:sz w:val="20"/>
                <w:szCs w:val="20"/>
              </w:rPr>
              <w:t>КГУ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186,29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29,88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31,31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29,88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1.8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 xml:space="preserve">інші витрати собівартості без потреб власних ТЕЦ, ТЕС, АЕС, </w:t>
            </w:r>
            <w:proofErr w:type="spellStart"/>
            <w:r w:rsidRPr="004D6E5D">
              <w:rPr>
                <w:sz w:val="20"/>
                <w:szCs w:val="20"/>
              </w:rPr>
              <w:t>КГУ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326,94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52,44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54,95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52,44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Розрахунковий прибуток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713,56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114,46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119,93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114,46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3.1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128,44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20,60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21,59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20,60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3.2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на розвиток виробництва</w:t>
            </w:r>
          </w:p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( виробничі інвестиції)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77,26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12,39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12,98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12,39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3.3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інше використання прибутку(обігові кошти)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507,86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81,47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85,36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81,47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 xml:space="preserve">Вартість теплової енергії за відповідним тарифом 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19226,30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3084,04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4384,48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4184,50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0,00</w:t>
            </w: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 xml:space="preserve">Тарифи на теплову енергію, </w:t>
            </w:r>
            <w:proofErr w:type="spellStart"/>
            <w:r w:rsidRPr="004D6E5D">
              <w:rPr>
                <w:b/>
                <w:sz w:val="20"/>
                <w:szCs w:val="20"/>
              </w:rPr>
              <w:t>грн</w:t>
            </w:r>
            <w:proofErr w:type="spellEnd"/>
            <w:r w:rsidRPr="004D6E5D">
              <w:rPr>
                <w:b/>
                <w:sz w:val="20"/>
                <w:szCs w:val="20"/>
              </w:rPr>
              <w:t>/</w:t>
            </w:r>
            <w:proofErr w:type="spellStart"/>
            <w:r w:rsidRPr="004D6E5D">
              <w:rPr>
                <w:b/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3084,04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4184,50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Тариф на послуги з постачання  теплової енергії, грн./</w:t>
            </w:r>
            <w:proofErr w:type="spellStart"/>
            <w:r w:rsidRPr="004D6E5D">
              <w:rPr>
                <w:b/>
                <w:sz w:val="20"/>
                <w:szCs w:val="20"/>
              </w:rPr>
              <w:t>Гкал</w:t>
            </w:r>
            <w:proofErr w:type="spellEnd"/>
            <w:r w:rsidRPr="004D6E5D">
              <w:rPr>
                <w:b/>
                <w:sz w:val="20"/>
                <w:szCs w:val="20"/>
              </w:rPr>
              <w:t xml:space="preserve"> з ПДВ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3700,85</w:t>
            </w: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5021,40</w:t>
            </w: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 xml:space="preserve">Обсяг реалізації теплової енергії власним споживачам, </w:t>
            </w:r>
            <w:proofErr w:type="spellStart"/>
            <w:r w:rsidRPr="004D6E5D">
              <w:rPr>
                <w:b/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6234,12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1047,79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</w:tr>
      <w:tr w:rsidR="00D67319" w:rsidRPr="004D6E5D" w:rsidTr="00CF799E">
        <w:tc>
          <w:tcPr>
            <w:tcW w:w="695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519" w:type="dxa"/>
            <w:shd w:val="clear" w:color="auto" w:fill="auto"/>
          </w:tcPr>
          <w:p w:rsidR="00D67319" w:rsidRPr="004D6E5D" w:rsidRDefault="00D67319" w:rsidP="00CF799E">
            <w:pPr>
              <w:jc w:val="both"/>
              <w:rPr>
                <w:b/>
                <w:sz w:val="20"/>
                <w:szCs w:val="20"/>
              </w:rPr>
            </w:pPr>
            <w:r w:rsidRPr="004D6E5D">
              <w:rPr>
                <w:b/>
                <w:sz w:val="20"/>
                <w:szCs w:val="20"/>
              </w:rPr>
              <w:t>Рівень рентабельності, %</w:t>
            </w:r>
          </w:p>
        </w:tc>
        <w:tc>
          <w:tcPr>
            <w:tcW w:w="1041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3,85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  <w:r w:rsidRPr="004D6E5D">
              <w:rPr>
                <w:sz w:val="20"/>
                <w:szCs w:val="20"/>
              </w:rPr>
              <w:t>2,81</w:t>
            </w:r>
          </w:p>
        </w:tc>
        <w:tc>
          <w:tcPr>
            <w:tcW w:w="1172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:rsidR="00D67319" w:rsidRPr="004D6E5D" w:rsidRDefault="00D67319" w:rsidP="00CF799E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7319" w:rsidRPr="00F7076B" w:rsidRDefault="00D67319" w:rsidP="00D67319">
      <w:pPr>
        <w:jc w:val="both"/>
        <w:rPr>
          <w:sz w:val="22"/>
          <w:szCs w:val="22"/>
        </w:rPr>
      </w:pPr>
    </w:p>
    <w:p w:rsidR="00D67319" w:rsidRPr="00DD4B02" w:rsidRDefault="00D67319" w:rsidP="00D67319">
      <w:pPr>
        <w:jc w:val="both"/>
        <w:rPr>
          <w:b/>
          <w:sz w:val="22"/>
          <w:szCs w:val="22"/>
        </w:rPr>
      </w:pPr>
    </w:p>
    <w:p w:rsidR="00B069FA" w:rsidRPr="002A7BFE" w:rsidRDefault="004D6E5D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>
        <w:rPr>
          <w:lang w:val="uk-UA"/>
        </w:rPr>
        <w:t xml:space="preserve">Керуючий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p w:rsidR="00B069FA" w:rsidRPr="00B069FA" w:rsidRDefault="00B069FA" w:rsidP="00685A1A">
      <w:pPr>
        <w:ind w:left="7371"/>
        <w:jc w:val="both"/>
      </w:pPr>
    </w:p>
    <w:sectPr w:rsidR="00B069FA" w:rsidRPr="00B069FA" w:rsidSect="002A7BF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4138FF"/>
    <w:multiLevelType w:val="hybridMultilevel"/>
    <w:tmpl w:val="8FFC1E84"/>
    <w:lvl w:ilvl="0" w:tplc="242ADF14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104591"/>
    <w:multiLevelType w:val="hybridMultilevel"/>
    <w:tmpl w:val="ABF8D8AC"/>
    <w:lvl w:ilvl="0" w:tplc="6A72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A08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1639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B0C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56B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AA03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EAF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482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D02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9D0ED7"/>
    <w:multiLevelType w:val="hybridMultilevel"/>
    <w:tmpl w:val="0D3E75BE"/>
    <w:lvl w:ilvl="0" w:tplc="9EB04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4D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8E8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C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2AE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56B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49D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E84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05797E"/>
    <w:multiLevelType w:val="hybridMultilevel"/>
    <w:tmpl w:val="31226BD6"/>
    <w:lvl w:ilvl="0" w:tplc="DF242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F88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1A3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388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4D5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6A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C82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04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122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F7726"/>
    <w:multiLevelType w:val="hybridMultilevel"/>
    <w:tmpl w:val="41CA6D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540C9"/>
    <w:multiLevelType w:val="hybridMultilevel"/>
    <w:tmpl w:val="0026EF4E"/>
    <w:lvl w:ilvl="0" w:tplc="19F08B5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507B8"/>
    <w:rsid w:val="0005276B"/>
    <w:rsid w:val="00067FE6"/>
    <w:rsid w:val="000879D9"/>
    <w:rsid w:val="000A43E7"/>
    <w:rsid w:val="000D2CC7"/>
    <w:rsid w:val="000E25D4"/>
    <w:rsid w:val="000F4DE6"/>
    <w:rsid w:val="000F51B5"/>
    <w:rsid w:val="00116AD6"/>
    <w:rsid w:val="0013773C"/>
    <w:rsid w:val="00141B15"/>
    <w:rsid w:val="0015526C"/>
    <w:rsid w:val="00156001"/>
    <w:rsid w:val="00157811"/>
    <w:rsid w:val="00171A6D"/>
    <w:rsid w:val="00175580"/>
    <w:rsid w:val="00186A56"/>
    <w:rsid w:val="001913DF"/>
    <w:rsid w:val="0019746D"/>
    <w:rsid w:val="001B4383"/>
    <w:rsid w:val="001C325F"/>
    <w:rsid w:val="001C5EC3"/>
    <w:rsid w:val="001D16F8"/>
    <w:rsid w:val="001D60A4"/>
    <w:rsid w:val="00204B95"/>
    <w:rsid w:val="00234D1B"/>
    <w:rsid w:val="002550E6"/>
    <w:rsid w:val="00260461"/>
    <w:rsid w:val="00264743"/>
    <w:rsid w:val="002A73E3"/>
    <w:rsid w:val="002A7BFE"/>
    <w:rsid w:val="002B5144"/>
    <w:rsid w:val="002B52A1"/>
    <w:rsid w:val="00305936"/>
    <w:rsid w:val="003263FA"/>
    <w:rsid w:val="0035622C"/>
    <w:rsid w:val="003608F4"/>
    <w:rsid w:val="0036374B"/>
    <w:rsid w:val="00374358"/>
    <w:rsid w:val="00377506"/>
    <w:rsid w:val="00377685"/>
    <w:rsid w:val="00383889"/>
    <w:rsid w:val="00385AEC"/>
    <w:rsid w:val="00386EE3"/>
    <w:rsid w:val="003A771D"/>
    <w:rsid w:val="003B17FC"/>
    <w:rsid w:val="003B1836"/>
    <w:rsid w:val="003B2BBD"/>
    <w:rsid w:val="003F48AA"/>
    <w:rsid w:val="003F683F"/>
    <w:rsid w:val="00410B24"/>
    <w:rsid w:val="004162DF"/>
    <w:rsid w:val="004235AA"/>
    <w:rsid w:val="00463B40"/>
    <w:rsid w:val="00494192"/>
    <w:rsid w:val="004A3019"/>
    <w:rsid w:val="004B0970"/>
    <w:rsid w:val="004B5C72"/>
    <w:rsid w:val="004D138F"/>
    <w:rsid w:val="004D6E5D"/>
    <w:rsid w:val="004F4296"/>
    <w:rsid w:val="004F5FF8"/>
    <w:rsid w:val="00514605"/>
    <w:rsid w:val="00514F7F"/>
    <w:rsid w:val="00555932"/>
    <w:rsid w:val="005B2514"/>
    <w:rsid w:val="005C05C0"/>
    <w:rsid w:val="005C7251"/>
    <w:rsid w:val="005D7F50"/>
    <w:rsid w:val="006012A8"/>
    <w:rsid w:val="00622CAF"/>
    <w:rsid w:val="00636974"/>
    <w:rsid w:val="00641183"/>
    <w:rsid w:val="006424CF"/>
    <w:rsid w:val="00651D20"/>
    <w:rsid w:val="0065241F"/>
    <w:rsid w:val="0068499A"/>
    <w:rsid w:val="00685A1A"/>
    <w:rsid w:val="006910B5"/>
    <w:rsid w:val="00691ABA"/>
    <w:rsid w:val="00721F4D"/>
    <w:rsid w:val="00725E02"/>
    <w:rsid w:val="0074408A"/>
    <w:rsid w:val="00745D38"/>
    <w:rsid w:val="00763C09"/>
    <w:rsid w:val="007B2909"/>
    <w:rsid w:val="007C753F"/>
    <w:rsid w:val="00834480"/>
    <w:rsid w:val="008B25DD"/>
    <w:rsid w:val="008E7D06"/>
    <w:rsid w:val="00901601"/>
    <w:rsid w:val="009116EC"/>
    <w:rsid w:val="00926D9C"/>
    <w:rsid w:val="00940F59"/>
    <w:rsid w:val="0094388D"/>
    <w:rsid w:val="00953C0F"/>
    <w:rsid w:val="00960844"/>
    <w:rsid w:val="00965617"/>
    <w:rsid w:val="00974E78"/>
    <w:rsid w:val="009B5911"/>
    <w:rsid w:val="009C4CD7"/>
    <w:rsid w:val="009F1E47"/>
    <w:rsid w:val="009F6237"/>
    <w:rsid w:val="00A14C7F"/>
    <w:rsid w:val="00A201C1"/>
    <w:rsid w:val="00A202A3"/>
    <w:rsid w:val="00A2161D"/>
    <w:rsid w:val="00A26D73"/>
    <w:rsid w:val="00A37417"/>
    <w:rsid w:val="00A41D0B"/>
    <w:rsid w:val="00A57C59"/>
    <w:rsid w:val="00A713C2"/>
    <w:rsid w:val="00AC5FC7"/>
    <w:rsid w:val="00AE17AE"/>
    <w:rsid w:val="00B069FA"/>
    <w:rsid w:val="00B2015D"/>
    <w:rsid w:val="00B21FAC"/>
    <w:rsid w:val="00B33186"/>
    <w:rsid w:val="00B37285"/>
    <w:rsid w:val="00B44534"/>
    <w:rsid w:val="00B67643"/>
    <w:rsid w:val="00B779F7"/>
    <w:rsid w:val="00BA65D8"/>
    <w:rsid w:val="00BB1984"/>
    <w:rsid w:val="00BE2934"/>
    <w:rsid w:val="00C02E95"/>
    <w:rsid w:val="00C11D6B"/>
    <w:rsid w:val="00C17CC7"/>
    <w:rsid w:val="00C32927"/>
    <w:rsid w:val="00C34538"/>
    <w:rsid w:val="00C87A00"/>
    <w:rsid w:val="00CB07BB"/>
    <w:rsid w:val="00CB1FDF"/>
    <w:rsid w:val="00D16A48"/>
    <w:rsid w:val="00D24C23"/>
    <w:rsid w:val="00D30496"/>
    <w:rsid w:val="00D67319"/>
    <w:rsid w:val="00D67619"/>
    <w:rsid w:val="00D82FC7"/>
    <w:rsid w:val="00D866C4"/>
    <w:rsid w:val="00D86E69"/>
    <w:rsid w:val="00D93335"/>
    <w:rsid w:val="00DC4B78"/>
    <w:rsid w:val="00DE13A7"/>
    <w:rsid w:val="00E17905"/>
    <w:rsid w:val="00E55CC6"/>
    <w:rsid w:val="00E653A3"/>
    <w:rsid w:val="00E8584A"/>
    <w:rsid w:val="00EC5D82"/>
    <w:rsid w:val="00ED23B2"/>
    <w:rsid w:val="00F52208"/>
    <w:rsid w:val="00F62D91"/>
    <w:rsid w:val="00F64463"/>
    <w:rsid w:val="00F7020E"/>
    <w:rsid w:val="00F74DC8"/>
    <w:rsid w:val="00FC6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84A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E8584A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E8584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E8584A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584A"/>
    <w:pPr>
      <w:tabs>
        <w:tab w:val="center" w:pos="4677"/>
        <w:tab w:val="right" w:pos="9355"/>
      </w:tabs>
    </w:pPr>
    <w:rPr>
      <w:lang w:val="ru-RU"/>
    </w:rPr>
  </w:style>
  <w:style w:type="paragraph" w:styleId="a5">
    <w:name w:val="Balloon Text"/>
    <w:basedOn w:val="a"/>
    <w:semiHidden/>
    <w:rsid w:val="00E8584A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E8584A"/>
    <w:pPr>
      <w:jc w:val="both"/>
    </w:pPr>
  </w:style>
  <w:style w:type="table" w:styleId="a7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A202A3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rsid w:val="00B069FA"/>
    <w:rPr>
      <w:sz w:val="24"/>
      <w:szCs w:val="24"/>
    </w:rPr>
  </w:style>
  <w:style w:type="paragraph" w:styleId="a9">
    <w:name w:val="List Paragraph"/>
    <w:basedOn w:val="a"/>
    <w:uiPriority w:val="34"/>
    <w:qFormat/>
    <w:rsid w:val="00B069FA"/>
    <w:pPr>
      <w:ind w:left="720"/>
      <w:contextualSpacing/>
    </w:pPr>
    <w:rPr>
      <w:lang w:val="ru-RU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234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3BEDF-4A5C-40C4-873C-B8440F18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3543</Words>
  <Characters>2020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2021-10-13T06:41:00Z</cp:lastPrinted>
  <dcterms:created xsi:type="dcterms:W3CDTF">2021-10-20T12:55:00Z</dcterms:created>
  <dcterms:modified xsi:type="dcterms:W3CDTF">2021-10-22T07:10:00Z</dcterms:modified>
</cp:coreProperties>
</file>