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AD052" w14:textId="48C64DB0" w:rsidR="001F36E8" w:rsidRPr="006041CF" w:rsidRDefault="001F36E8" w:rsidP="001F36E8">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Е-9</w:t>
      </w:r>
      <w:r>
        <w:rPr>
          <w:rFonts w:ascii="Times New Roman" w:hAnsi="Times New Roman" w:cs="Times New Roman"/>
          <w:b/>
          <w:bCs/>
        </w:rPr>
        <w:t>5</w:t>
      </w:r>
      <w:r>
        <w:rPr>
          <w:rFonts w:ascii="Times New Roman" w:hAnsi="Times New Roman" w:cs="Times New Roman"/>
          <w:b/>
          <w:bCs/>
        </w:rPr>
        <w:t>/23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74B6AEE8" w14:textId="77777777" w:rsidR="001F36E8" w:rsidRPr="00461D5B" w:rsidRDefault="001F36E8" w:rsidP="001F36E8">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«01» грудня</w:t>
      </w:r>
      <w:r w:rsidRPr="00461D5B">
        <w:rPr>
          <w:rFonts w:ascii="Times New Roman" w:hAnsi="Times New Roman" w:cs="Times New Roman"/>
          <w:sz w:val="20"/>
          <w:szCs w:val="20"/>
        </w:rPr>
        <w:t xml:space="preserve"> 20</w:t>
      </w:r>
      <w:r>
        <w:rPr>
          <w:rFonts w:ascii="Times New Roman" w:hAnsi="Times New Roman" w:cs="Times New Roman"/>
          <w:sz w:val="20"/>
          <w:szCs w:val="20"/>
        </w:rPr>
        <w:t>23</w:t>
      </w:r>
      <w:r w:rsidRPr="00461D5B">
        <w:rPr>
          <w:rFonts w:ascii="Times New Roman" w:hAnsi="Times New Roman" w:cs="Times New Roman"/>
          <w:sz w:val="20"/>
          <w:szCs w:val="20"/>
        </w:rPr>
        <w:t> р.</w:t>
      </w:r>
    </w:p>
    <w:p w14:paraId="1F60E14F" w14:textId="77777777" w:rsidR="001F36E8" w:rsidRPr="00461D5B" w:rsidRDefault="001F36E8" w:rsidP="001F36E8">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62B0643F" w14:textId="6346EA37" w:rsidR="001F36E8" w:rsidRPr="00FE404B" w:rsidRDefault="001F36E8" w:rsidP="001F36E8">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Енергетиків</w:t>
      </w:r>
      <w:r w:rsidRPr="00EA4E68">
        <w:rPr>
          <w:rFonts w:ascii="Times New Roman" w:hAnsi="Times New Roman" w:cs="Times New Roman"/>
          <w:i/>
          <w:iCs/>
          <w:u w:val="single"/>
        </w:rPr>
        <w:t>, буд.</w:t>
      </w:r>
      <w:r>
        <w:rPr>
          <w:rFonts w:ascii="Times New Roman" w:hAnsi="Times New Roman" w:cs="Times New Roman"/>
          <w:i/>
          <w:iCs/>
          <w:u w:val="single"/>
        </w:rPr>
        <w:t xml:space="preserve"> 9</w:t>
      </w:r>
      <w:r>
        <w:rPr>
          <w:rFonts w:ascii="Times New Roman" w:hAnsi="Times New Roman" w:cs="Times New Roman"/>
          <w:i/>
          <w:iCs/>
          <w:u w:val="single"/>
        </w:rPr>
        <w:t>5</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2402A8D8" w14:textId="77777777" w:rsidR="001F36E8" w:rsidRPr="00461D5B" w:rsidRDefault="001F36E8" w:rsidP="001F36E8">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151425C9" w14:textId="77777777" w:rsidR="001F36E8" w:rsidRPr="004314F7" w:rsidRDefault="001F36E8" w:rsidP="001F36E8">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___________________________________________________________________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40FA5627" w14:textId="77777777" w:rsidR="001F36E8" w:rsidRPr="00622F98" w:rsidRDefault="001F36E8" w:rsidP="001F36E8">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p>
    <w:p w14:paraId="5EC7F09B" w14:textId="049690F2" w:rsidR="001F36E8" w:rsidRPr="00461D5B" w:rsidRDefault="001F36E8" w:rsidP="001F36E8">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Енергетиків, буд.9</w:t>
      </w:r>
      <w:r>
        <w:rPr>
          <w:rFonts w:ascii="Times New Roman" w:hAnsi="Times New Roman" w:cs="Times New Roman"/>
          <w:i/>
          <w:iCs/>
          <w:sz w:val="20"/>
          <w:szCs w:val="20"/>
          <w:u w:val="single"/>
        </w:rPr>
        <w:t>5</w:t>
      </w:r>
      <w:r>
        <w:rPr>
          <w:rFonts w:ascii="Times New Roman" w:hAnsi="Times New Roman" w:cs="Times New Roman"/>
          <w:i/>
          <w:iCs/>
          <w:sz w:val="20"/>
          <w:szCs w:val="20"/>
          <w:u w:val="single"/>
        </w:rPr>
        <w:t xml:space="preserve"> від 2</w:t>
      </w:r>
      <w:r>
        <w:rPr>
          <w:rFonts w:ascii="Times New Roman" w:hAnsi="Times New Roman" w:cs="Times New Roman"/>
          <w:i/>
          <w:iCs/>
          <w:sz w:val="20"/>
          <w:szCs w:val="20"/>
          <w:u w:val="single"/>
        </w:rPr>
        <w:t>4</w:t>
      </w:r>
      <w:r>
        <w:rPr>
          <w:rFonts w:ascii="Times New Roman" w:hAnsi="Times New Roman" w:cs="Times New Roman"/>
          <w:i/>
          <w:iCs/>
          <w:sz w:val="20"/>
          <w:szCs w:val="20"/>
          <w:u w:val="single"/>
        </w:rPr>
        <w:t xml:space="preserve">.10.2023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37664D5D" w14:textId="77777777" w:rsidR="001F36E8" w:rsidRPr="00461D5B" w:rsidRDefault="001F36E8" w:rsidP="001F36E8">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6AB2C791" w14:textId="75C59A17" w:rsidR="001F36E8" w:rsidRPr="00461D5B" w:rsidRDefault="001F36E8" w:rsidP="001F36E8">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Енергетиків, буд. 9</w:t>
      </w:r>
      <w:r>
        <w:rPr>
          <w:rFonts w:ascii="Times New Roman" w:hAnsi="Times New Roman" w:cs="Times New Roman"/>
          <w:i/>
          <w:iCs/>
          <w:sz w:val="20"/>
          <w:szCs w:val="20"/>
          <w:u w:val="single"/>
        </w:rPr>
        <w:t>5</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679EFD42"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5966C948"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5744B61B"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020B19AE"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7EE4E2F4" w14:textId="77777777" w:rsidR="001F36E8" w:rsidRPr="00461D5B" w:rsidRDefault="001F36E8" w:rsidP="001F36E8">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2DE39412" w14:textId="77777777" w:rsidR="001F36E8"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0EB43076"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31B3E201" w14:textId="77777777" w:rsidR="001F36E8" w:rsidRDefault="001F36E8" w:rsidP="001F36E8">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5CF2109C" w14:textId="77777777" w:rsidR="001F36E8" w:rsidRPr="00ED10B6" w:rsidRDefault="001F36E8" w:rsidP="001F36E8">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4D741F1E" w14:textId="77777777" w:rsidR="001F36E8"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7ADA91B2" w14:textId="77777777" w:rsidR="001F36E8" w:rsidRPr="00461D5B" w:rsidRDefault="001F36E8" w:rsidP="001F36E8">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2E1444AA"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5A9AEFEB"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4F2F320" w14:textId="77777777" w:rsidR="001F36E8"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7765C38D" w14:textId="77777777" w:rsidR="001F36E8" w:rsidRDefault="001F36E8" w:rsidP="001F36E8">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160BE984" w14:textId="77777777" w:rsidR="001F36E8" w:rsidRPr="002D03E4" w:rsidRDefault="001F36E8" w:rsidP="001F36E8">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620A3901"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3D39C337"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6C02E560"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46269042"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5078FB88"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4C567C27"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2CE5C5A7"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05DC5736"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710A674A" w14:textId="77777777" w:rsidR="001F36E8" w:rsidRPr="00461D5B" w:rsidRDefault="001F36E8" w:rsidP="001F36E8">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37297652"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4CAD0C1E"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25B6BD0E" w14:textId="77777777" w:rsidR="001F36E8" w:rsidRPr="00461D5B" w:rsidRDefault="001F36E8" w:rsidP="001F36E8">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6E7F99F9"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дотримуватися правил безпеки, зокрема пожежної та газової, санітарних норм;</w:t>
      </w:r>
    </w:p>
    <w:p w14:paraId="3042E822"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11D031CD"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7B1349F4"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2E091698"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2DB48FEC"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03022E40" w14:textId="77777777" w:rsidR="001F36E8" w:rsidRPr="00461D5B" w:rsidRDefault="001F36E8" w:rsidP="001F36E8">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05B4F4BE"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0A1DC5F1" w14:textId="77777777" w:rsidR="001F36E8" w:rsidRPr="00461D5B" w:rsidRDefault="001F36E8" w:rsidP="001F36E8">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333F5967"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20558B1B"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0CC650B8"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2F136861"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16981A4C"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64358CE8"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756B7C11"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37838592"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4BA8135F" w14:textId="77777777" w:rsidR="001F36E8"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09FBFB7B" w14:textId="77777777" w:rsidR="001F36E8" w:rsidRPr="00461D5B" w:rsidRDefault="001F36E8" w:rsidP="001F36E8">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22EB5A9A"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39FF9346" w14:textId="77777777" w:rsidR="001F36E8"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1CC1A94B" w14:textId="77777777" w:rsidR="001F36E8" w:rsidRPr="00AB25DF" w:rsidRDefault="001F36E8" w:rsidP="001F36E8">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4C8852F3"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24E310AA" w14:textId="77777777" w:rsidR="001F36E8" w:rsidRPr="00461D5B" w:rsidRDefault="001F36E8" w:rsidP="001F36E8">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3603222D"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3142D8B6"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6C809914"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1C7D81BD" w14:textId="77777777" w:rsidR="001F36E8" w:rsidRPr="00461D5B" w:rsidRDefault="001F36E8" w:rsidP="001F36E8">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15E6F1AD" w14:textId="77777777" w:rsidR="001F36E8"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57D22E4C" w14:textId="77777777" w:rsidR="001F36E8" w:rsidRPr="002D03E4" w:rsidRDefault="001F36E8" w:rsidP="001F36E8">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3546F925" w14:textId="77777777" w:rsidR="001F36E8" w:rsidRPr="002D03E4" w:rsidRDefault="001F36E8" w:rsidP="001F36E8">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7ED0CA9E"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2AFA08DC"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5532A455"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12D72481" w14:textId="77777777" w:rsidR="001F36E8" w:rsidRPr="00863B42"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62A0113F"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31C29A6B" w14:textId="77777777" w:rsidR="001F36E8" w:rsidRPr="00461D5B" w:rsidRDefault="001F36E8" w:rsidP="001F36E8">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11AAD05E" w14:textId="77777777" w:rsidR="001F36E8"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6108634A"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p>
    <w:p w14:paraId="19D5F01E" w14:textId="77777777" w:rsidR="001F36E8" w:rsidRPr="00461D5B" w:rsidRDefault="001F36E8" w:rsidP="001F36E8">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3F696765" w14:textId="56B386FC"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9. Ціна послуги з управління становить</w:t>
      </w:r>
      <w:r>
        <w:rPr>
          <w:rFonts w:ascii="Times New Roman" w:hAnsi="Times New Roman" w:cs="Times New Roman"/>
          <w:sz w:val="20"/>
          <w:szCs w:val="20"/>
          <w:lang w:eastAsia="zh-CN"/>
        </w:rPr>
        <w:t xml:space="preserve"> </w:t>
      </w:r>
      <w:r>
        <w:rPr>
          <w:rFonts w:ascii="Times New Roman" w:hAnsi="Times New Roman" w:cs="Times New Roman"/>
          <w:b/>
          <w:bCs/>
          <w:sz w:val="20"/>
          <w:szCs w:val="20"/>
          <w:lang w:eastAsia="zh-CN"/>
        </w:rPr>
        <w:t>21</w:t>
      </w:r>
      <w:r w:rsidRPr="00F15342">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38</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3</w:t>
      </w:r>
      <w:r>
        <w:rPr>
          <w:rFonts w:ascii="Times New Roman" w:hAnsi="Times New Roman" w:cs="Times New Roman"/>
          <w:sz w:val="20"/>
          <w:szCs w:val="20"/>
          <w:lang w:eastAsia="zh-CN"/>
        </w:rPr>
        <w:t>,</w:t>
      </w:r>
      <w:r>
        <w:rPr>
          <w:rFonts w:ascii="Times New Roman" w:hAnsi="Times New Roman" w:cs="Times New Roman"/>
          <w:sz w:val="20"/>
          <w:szCs w:val="20"/>
          <w:lang w:eastAsia="zh-CN"/>
        </w:rPr>
        <w:t>5</w:t>
      </w:r>
      <w:r>
        <w:rPr>
          <w:rFonts w:ascii="Times New Roman" w:hAnsi="Times New Roman" w:cs="Times New Roman"/>
          <w:sz w:val="20"/>
          <w:szCs w:val="20"/>
          <w:lang w:eastAsia="zh-CN"/>
        </w:rPr>
        <w:t>6</w:t>
      </w:r>
      <w:r>
        <w:rPr>
          <w:rFonts w:ascii="Times New Roman" w:hAnsi="Times New Roman" w:cs="Times New Roman"/>
          <w:sz w:val="20"/>
          <w:szCs w:val="20"/>
          <w:lang w:eastAsia="zh-CN"/>
        </w:rPr>
        <w:t>4</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49B065E2" w14:textId="555952C2" w:rsidR="001F36E8" w:rsidRDefault="001F36E8" w:rsidP="001F36E8">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442B7C">
        <w:rPr>
          <w:rFonts w:ascii="Times New Roman" w:hAnsi="Times New Roman" w:cs="Times New Roman"/>
          <w:b/>
          <w:bCs/>
          <w:sz w:val="20"/>
          <w:szCs w:val="20"/>
          <w:lang w:eastAsia="zh-CN"/>
        </w:rPr>
        <w:t>1</w:t>
      </w:r>
      <w:r>
        <w:rPr>
          <w:rFonts w:ascii="Times New Roman" w:hAnsi="Times New Roman" w:cs="Times New Roman"/>
          <w:b/>
          <w:bCs/>
          <w:sz w:val="20"/>
          <w:szCs w:val="20"/>
          <w:lang w:eastAsia="zh-CN"/>
        </w:rPr>
        <w:t>6</w:t>
      </w:r>
      <w:r w:rsidRPr="00383D23">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200</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0F4160ED" w14:textId="0D6A6B76" w:rsidR="001F36E8" w:rsidRDefault="001F36E8" w:rsidP="001F36E8">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1,62</w:t>
      </w:r>
      <w:r>
        <w:rPr>
          <w:rFonts w:ascii="Times New Roman" w:hAnsi="Times New Roman" w:cs="Times New Roman"/>
          <w:sz w:val="20"/>
          <w:szCs w:val="20"/>
          <w:lang w:eastAsia="zh-CN"/>
        </w:rPr>
        <w:t>0</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5A30250F" w14:textId="77777777" w:rsidR="001F36E8" w:rsidRPr="000D7B27" w:rsidRDefault="001F36E8" w:rsidP="001F36E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040A9CCD"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262E0A9D"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4F59EDF8" w14:textId="77777777" w:rsidR="001F36E8" w:rsidRDefault="001F36E8" w:rsidP="001F36E8">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480B2121" w14:textId="77777777" w:rsidR="001F36E8" w:rsidRPr="00863B42" w:rsidRDefault="001F36E8" w:rsidP="001F36E8">
      <w:pPr>
        <w:pStyle w:val="a4"/>
        <w:ind w:right="49" w:firstLine="567"/>
        <w:jc w:val="both"/>
        <w:rPr>
          <w:rFonts w:ascii="Times New Roman" w:hAnsi="Times New Roman" w:cs="Times New Roman"/>
          <w:sz w:val="20"/>
          <w:szCs w:val="20"/>
          <w:lang w:eastAsia="zh-CN"/>
        </w:rPr>
      </w:pPr>
    </w:p>
    <w:p w14:paraId="6E02C740" w14:textId="77777777" w:rsidR="001F36E8" w:rsidRPr="00461D5B" w:rsidRDefault="001F36E8" w:rsidP="001F36E8">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7BA2E166"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32AE0FB3"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5A9D136D"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56FF2ECA"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16B2CE55" w14:textId="77777777" w:rsidR="001F36E8"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64A24946"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p>
    <w:p w14:paraId="40E1FDB0" w14:textId="77777777" w:rsidR="001F36E8" w:rsidRPr="00461D5B" w:rsidRDefault="001F36E8" w:rsidP="001F36E8">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38CE1B0F"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55F0EB49" w14:textId="77777777" w:rsidR="001F36E8" w:rsidRPr="00863B42" w:rsidRDefault="001F36E8" w:rsidP="001F36E8">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167F2B62" w14:textId="77777777" w:rsidR="001F36E8" w:rsidRPr="00863B42" w:rsidRDefault="001F36E8" w:rsidP="001F36E8">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27B01C9B" w14:textId="77777777" w:rsidR="001F36E8" w:rsidRPr="00863B42" w:rsidRDefault="001F36E8" w:rsidP="001F36E8">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2A461D28" w14:textId="77777777" w:rsidR="001F36E8" w:rsidRPr="00863B42" w:rsidRDefault="001F36E8" w:rsidP="001F36E8">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5ED95FDF" w14:textId="77777777" w:rsidR="001F36E8" w:rsidRPr="00863B42" w:rsidRDefault="001F36E8" w:rsidP="001F36E8">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543FCDC5" w14:textId="77777777" w:rsidR="001F36E8" w:rsidRPr="00863B42" w:rsidRDefault="001F36E8" w:rsidP="001F36E8">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2EC5DDA7" w14:textId="77777777" w:rsidR="001F36E8" w:rsidRPr="00461D5B" w:rsidRDefault="001F36E8" w:rsidP="001F36E8">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77D51666" w14:textId="77777777" w:rsidR="001F36E8" w:rsidRPr="00863B42"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44C932E0"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75B1A3E6" w14:textId="77777777" w:rsidR="001F36E8" w:rsidRPr="00461D5B" w:rsidRDefault="001F36E8" w:rsidP="001F36E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3AE9974E" w14:textId="77777777" w:rsidR="001F36E8" w:rsidRPr="00863B42" w:rsidRDefault="001F36E8" w:rsidP="001F36E8">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E5E62C7" w14:textId="77777777" w:rsidR="001F36E8" w:rsidRPr="00863B42" w:rsidRDefault="001F36E8" w:rsidP="001F36E8">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76004528"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0369F9B5" w14:textId="77777777" w:rsidR="001F36E8"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139D5712" w14:textId="77777777" w:rsidR="001F36E8" w:rsidRPr="00863B42" w:rsidRDefault="001F36E8" w:rsidP="001F36E8">
      <w:pPr>
        <w:pStyle w:val="a4"/>
        <w:ind w:right="-93" w:firstLine="567"/>
        <w:jc w:val="both"/>
        <w:rPr>
          <w:rFonts w:ascii="Times New Roman" w:hAnsi="Times New Roman" w:cs="Times New Roman"/>
          <w:sz w:val="20"/>
          <w:szCs w:val="20"/>
          <w:lang w:eastAsia="zh-CN"/>
        </w:rPr>
      </w:pPr>
    </w:p>
    <w:p w14:paraId="1621F780" w14:textId="77777777" w:rsidR="001F36E8" w:rsidRPr="00461D5B" w:rsidRDefault="001F36E8" w:rsidP="001F36E8">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3020B88D"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7254C4E6"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391296ED"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1934E72E"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1D958476"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0C0777EA"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159005B5"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51379EFC"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5DDB0628"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368819DA" w14:textId="77777777" w:rsidR="001F36E8"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1E549A90" w14:textId="77777777" w:rsidR="001F36E8" w:rsidRPr="000D7B27" w:rsidRDefault="001F36E8" w:rsidP="001F36E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2EBA3C0A"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399E082D"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7EAC7731" w14:textId="77777777" w:rsidR="001F36E8" w:rsidRPr="000D7B27"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396592A1"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08B6FFD6" w14:textId="77777777" w:rsidR="001F36E8" w:rsidRPr="000D7B27" w:rsidRDefault="001F36E8" w:rsidP="001F36E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6F8163F2" w14:textId="77777777" w:rsidR="001F36E8" w:rsidRPr="000D7B27" w:rsidRDefault="001F36E8" w:rsidP="001F36E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51E42563" w14:textId="77777777" w:rsidR="001F36E8" w:rsidRPr="000D7B27" w:rsidRDefault="001F36E8" w:rsidP="001F36E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387B2527" w14:textId="77777777" w:rsidR="001F36E8" w:rsidRPr="000D7B27" w:rsidRDefault="001F36E8" w:rsidP="001F36E8">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lastRenderedPageBreak/>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674D0901" w14:textId="77777777" w:rsidR="001F36E8" w:rsidRPr="00461D5B" w:rsidRDefault="001F36E8" w:rsidP="001F36E8">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115F6247"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1349FB63" w14:textId="77777777" w:rsidR="001F36E8"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183DC448" w14:textId="77777777" w:rsidR="001F36E8" w:rsidRPr="00461D5B" w:rsidRDefault="001F36E8" w:rsidP="001F36E8">
      <w:pPr>
        <w:pStyle w:val="a4"/>
        <w:ind w:right="-93" w:firstLine="567"/>
        <w:jc w:val="both"/>
        <w:rPr>
          <w:rFonts w:ascii="Times New Roman" w:hAnsi="Times New Roman" w:cs="Times New Roman"/>
          <w:sz w:val="20"/>
          <w:szCs w:val="20"/>
          <w:lang w:eastAsia="ru-RU"/>
        </w:rPr>
      </w:pPr>
    </w:p>
    <w:p w14:paraId="149FC44B" w14:textId="77777777" w:rsidR="001F36E8" w:rsidRPr="00461D5B" w:rsidRDefault="001F36E8" w:rsidP="001F36E8">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503A2552" w14:textId="77777777" w:rsidR="001F36E8" w:rsidRPr="000D7B27"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61B69DD8"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35D24641"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5EDDFCD6" w14:textId="77777777" w:rsidR="001F36E8" w:rsidRPr="00E320D3" w:rsidRDefault="001F36E8" w:rsidP="001F36E8">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053973B0"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0817E788" w14:textId="77777777" w:rsidR="001F36E8"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1819EF8D" w14:textId="77777777" w:rsidR="001F36E8" w:rsidRPr="00E320D3" w:rsidRDefault="001F36E8" w:rsidP="001F36E8">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3607AEF8" w14:textId="77777777" w:rsidR="001F36E8" w:rsidRPr="00EF1944" w:rsidRDefault="001F36E8" w:rsidP="001F36E8">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w:t>
      </w:r>
      <w:r>
        <w:rPr>
          <w:rFonts w:ascii="Times New Roman" w:hAnsi="Times New Roman" w:cs="Times New Roman"/>
          <w:spacing w:val="3"/>
          <w:sz w:val="20"/>
          <w:szCs w:val="20"/>
          <w:lang w:eastAsia="ru-RU"/>
        </w:rPr>
        <w:t xml:space="preserve"> 01</w:t>
      </w:r>
      <w:r w:rsidRPr="00EF1944">
        <w:rPr>
          <w:rFonts w:ascii="Times New Roman" w:hAnsi="Times New Roman" w:cs="Times New Roman"/>
          <w:spacing w:val="3"/>
          <w:sz w:val="20"/>
          <w:szCs w:val="20"/>
          <w:lang w:eastAsia="ru-RU"/>
        </w:rPr>
        <w:t xml:space="preserve"> </w:t>
      </w:r>
      <w:r>
        <w:rPr>
          <w:rFonts w:ascii="Times New Roman" w:hAnsi="Times New Roman" w:cs="Times New Roman"/>
          <w:b/>
          <w:bCs/>
          <w:spacing w:val="3"/>
          <w:sz w:val="20"/>
          <w:szCs w:val="20"/>
          <w:lang w:eastAsia="ru-RU"/>
        </w:rPr>
        <w:t>грудня</w:t>
      </w:r>
      <w:r w:rsidRPr="00837539">
        <w:rPr>
          <w:rFonts w:ascii="Times New Roman" w:hAnsi="Times New Roman" w:cs="Times New Roman"/>
          <w:b/>
          <w:bCs/>
          <w:spacing w:val="3"/>
          <w:sz w:val="20"/>
          <w:szCs w:val="20"/>
          <w:lang w:eastAsia="ru-RU"/>
        </w:rPr>
        <w:t xml:space="preserve"> 2023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5FD02327" w14:textId="77777777" w:rsidR="001F36E8" w:rsidRPr="000D7B27"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4EE17ECF"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3BCABDC4"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6BDED7A0" w14:textId="77777777" w:rsidR="001F36E8"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5F0303A5"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в разі проведення зборів та або/конкурсу та підписання нового договору, </w:t>
      </w:r>
      <w:bookmarkStart w:id="16" w:name="_Hlk144974848"/>
      <w:r>
        <w:rPr>
          <w:rFonts w:ascii="Times New Roman" w:hAnsi="Times New Roman" w:cs="Times New Roman"/>
          <w:sz w:val="20"/>
          <w:szCs w:val="20"/>
          <w:lang w:eastAsia="zh-CN"/>
        </w:rPr>
        <w:t>додаткова угода про розірвання даного договору не укладається;</w:t>
      </w:r>
    </w:p>
    <w:bookmarkEnd w:id="16"/>
    <w:p w14:paraId="11AFA7C9"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1AC49181" w14:textId="77777777" w:rsidR="001F36E8" w:rsidRPr="000D7B27" w:rsidRDefault="001F36E8" w:rsidP="001F36E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020EC048"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0AF34966"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32538D39"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4A5D92E6"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02D94BED"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65426E1B"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4086E5B1"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122686A7" w14:textId="77777777" w:rsidR="001F36E8" w:rsidRDefault="001F36E8" w:rsidP="001F36E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6B0875DA" w14:textId="77777777" w:rsidR="001F36E8" w:rsidRPr="00461D5B" w:rsidRDefault="001F36E8" w:rsidP="001F36E8">
      <w:pPr>
        <w:pStyle w:val="a4"/>
        <w:ind w:right="49" w:firstLine="567"/>
        <w:jc w:val="both"/>
        <w:rPr>
          <w:rFonts w:ascii="Times New Roman" w:hAnsi="Times New Roman" w:cs="Times New Roman"/>
          <w:sz w:val="20"/>
          <w:szCs w:val="20"/>
          <w:lang w:eastAsia="zh-CN"/>
        </w:rPr>
      </w:pPr>
    </w:p>
    <w:p w14:paraId="6861A5F0" w14:textId="77777777" w:rsidR="001F36E8" w:rsidRDefault="001F36E8" w:rsidP="001F36E8">
      <w:pPr>
        <w:pStyle w:val="a4"/>
        <w:ind w:right="49" w:firstLine="567"/>
        <w:jc w:val="center"/>
        <w:rPr>
          <w:rFonts w:ascii="Times New Roman" w:hAnsi="Times New Roman" w:cs="Times New Roman"/>
          <w:b/>
          <w:bCs/>
          <w:sz w:val="20"/>
          <w:szCs w:val="20"/>
        </w:rPr>
      </w:pPr>
    </w:p>
    <w:p w14:paraId="3E9E2D72" w14:textId="46A94FA7" w:rsidR="001F36E8" w:rsidRDefault="001F36E8" w:rsidP="001F36E8">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lastRenderedPageBreak/>
        <w:t>Прикінцеві положення</w:t>
      </w:r>
    </w:p>
    <w:p w14:paraId="554254FD" w14:textId="77777777" w:rsidR="001F36E8" w:rsidRPr="009057C7" w:rsidRDefault="001F36E8" w:rsidP="001F36E8">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8"/>
      <w:bookmarkEnd w:id="19"/>
    </w:p>
    <w:p w14:paraId="6CC3614C" w14:textId="77777777" w:rsidR="001F36E8" w:rsidRPr="00461D5B" w:rsidRDefault="001F36E8" w:rsidP="001F36E8">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двох</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у ______________________________________________.</w:t>
      </w:r>
    </w:p>
    <w:p w14:paraId="1E789653" w14:textId="77777777" w:rsidR="001F36E8" w:rsidRPr="000D7B27" w:rsidRDefault="001F36E8" w:rsidP="001F36E8">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w:t>
      </w:r>
    </w:p>
    <w:p w14:paraId="132BAF6B"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0DF5575E"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18256D2B"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6ED9D10D"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3535D609" w14:textId="77777777" w:rsidR="001F36E8" w:rsidRPr="00461D5B"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6D60E9EA" w14:textId="77777777" w:rsidR="001F36E8" w:rsidRDefault="001F36E8" w:rsidP="001F36E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39FA9D42" w14:textId="77777777" w:rsidR="001F36E8" w:rsidRDefault="001F36E8" w:rsidP="001F36E8">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Енергетиків буд.53</w:t>
      </w:r>
      <w:r w:rsidRPr="00461D5B">
        <w:rPr>
          <w:rFonts w:ascii="Times New Roman" w:hAnsi="Times New Roman" w:cs="Times New Roman"/>
          <w:sz w:val="20"/>
          <w:szCs w:val="20"/>
          <w:lang w:eastAsia="zh-CN"/>
        </w:rPr>
        <w:t>”.</w:t>
      </w:r>
    </w:p>
    <w:p w14:paraId="5E6FD281" w14:textId="77777777" w:rsidR="001F36E8" w:rsidRPr="00461D5B" w:rsidRDefault="001F36E8" w:rsidP="001F36E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02EB7D6D" w14:textId="77777777" w:rsidR="001F36E8" w:rsidRPr="00461D5B" w:rsidRDefault="001F36E8" w:rsidP="001F36E8">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1F377AEB" w14:textId="77777777" w:rsidR="001F36E8" w:rsidRPr="000D7B27" w:rsidRDefault="001F36E8" w:rsidP="001F36E8">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2E734551" w14:textId="77777777" w:rsidR="001F36E8" w:rsidRPr="000D7B27" w:rsidRDefault="001F36E8" w:rsidP="001F36E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17370AE5" w14:textId="77777777" w:rsidR="001F36E8" w:rsidRDefault="001F36E8" w:rsidP="001F36E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35A9BE32" w14:textId="77777777" w:rsidR="001F36E8" w:rsidRPr="000D7B27" w:rsidRDefault="001F36E8" w:rsidP="001F36E8">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4BF2572F" w14:textId="77777777" w:rsidR="001F36E8" w:rsidRPr="00863B42" w:rsidRDefault="001F36E8" w:rsidP="001F36E8">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2B0789CE" w14:textId="77777777" w:rsidR="001F36E8" w:rsidRDefault="001F36E8" w:rsidP="001F36E8">
      <w:pPr>
        <w:pStyle w:val="a4"/>
        <w:ind w:right="49"/>
        <w:rPr>
          <w:rFonts w:ascii="Times New Roman" w:hAnsi="Times New Roman" w:cs="Times New Roman"/>
          <w:sz w:val="20"/>
          <w:szCs w:val="20"/>
          <w:bdr w:val="none" w:sz="0" w:space="0" w:color="auto" w:frame="1"/>
        </w:rPr>
      </w:pPr>
    </w:p>
    <w:p w14:paraId="5B3E749B" w14:textId="77777777" w:rsidR="001F36E8" w:rsidRPr="00461D5B" w:rsidRDefault="001F36E8" w:rsidP="001F36E8">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060C572C" w14:textId="77777777" w:rsidR="001F36E8" w:rsidRPr="00461D5B" w:rsidRDefault="001F36E8" w:rsidP="001F36E8">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2278E5F0" w14:textId="77777777" w:rsidR="001F36E8" w:rsidRPr="00461D5B" w:rsidRDefault="001F36E8" w:rsidP="001F36E8">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1319EF73" w14:textId="77777777" w:rsidR="001F36E8" w:rsidRPr="00461D5B" w:rsidRDefault="001F36E8" w:rsidP="001F36E8">
      <w:pPr>
        <w:pStyle w:val="a4"/>
        <w:ind w:right="49"/>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t xml:space="preserve">Диспетчерська/аварійна служба: 3-36-23; 067-474-47-92; </w:t>
      </w:r>
    </w:p>
    <w:p w14:paraId="6503B849" w14:textId="77777777" w:rsidR="001F36E8" w:rsidRPr="00461D5B" w:rsidRDefault="001F36E8" w:rsidP="001F36E8">
      <w:pPr>
        <w:pStyle w:val="a4"/>
        <w:ind w:right="49"/>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1F36E8" w:rsidRPr="00461D5B" w14:paraId="76BD5556" w14:textId="77777777" w:rsidTr="00887B1B">
        <w:trPr>
          <w:trHeight w:val="313"/>
        </w:trPr>
        <w:tc>
          <w:tcPr>
            <w:tcW w:w="4405" w:type="dxa"/>
            <w:tcMar>
              <w:top w:w="0" w:type="dxa"/>
              <w:left w:w="0" w:type="dxa"/>
              <w:bottom w:w="0" w:type="dxa"/>
              <w:right w:w="0" w:type="dxa"/>
            </w:tcMar>
            <w:hideMark/>
          </w:tcPr>
          <w:p w14:paraId="5AC1BA7C" w14:textId="77777777" w:rsidR="001F36E8" w:rsidRDefault="001F36E8" w:rsidP="00887B1B">
            <w:pPr>
              <w:pStyle w:val="a4"/>
              <w:ind w:right="49"/>
              <w:rPr>
                <w:rFonts w:ascii="Times New Roman" w:hAnsi="Times New Roman" w:cs="Times New Roman"/>
                <w:b/>
                <w:bCs/>
                <w:sz w:val="20"/>
                <w:szCs w:val="20"/>
                <w:lang w:eastAsia="zh-CN"/>
              </w:rPr>
            </w:pPr>
          </w:p>
          <w:p w14:paraId="551C0B73" w14:textId="77777777" w:rsidR="001F36E8" w:rsidRDefault="001F36E8"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2FF023E7" w14:textId="77777777" w:rsidR="001F36E8" w:rsidRPr="00461D5B" w:rsidRDefault="001F36E8"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2A9E28B0" w14:textId="77777777" w:rsidR="001F36E8" w:rsidRPr="00461D5B" w:rsidRDefault="001F36E8" w:rsidP="00887B1B">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108BC4A1" w14:textId="77777777" w:rsidR="001F36E8" w:rsidRDefault="001F36E8"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5D02FC0D" w14:textId="77777777" w:rsidR="001F36E8" w:rsidRDefault="001F36E8" w:rsidP="00887B1B">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568C54F7" w14:textId="77777777" w:rsidR="001F36E8" w:rsidRPr="00461D5B" w:rsidRDefault="001F36E8"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60A46431" w14:textId="77777777" w:rsidR="001F36E8" w:rsidRPr="00461D5B" w:rsidRDefault="001F36E8" w:rsidP="00887B1B">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1DA48B30" w14:textId="77777777" w:rsidR="001F36E8" w:rsidRPr="00461D5B" w:rsidRDefault="001F36E8" w:rsidP="00887B1B">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4C7C6CAE" w14:textId="77777777" w:rsidR="001F36E8" w:rsidRDefault="001F36E8" w:rsidP="00887B1B">
            <w:pPr>
              <w:pStyle w:val="a4"/>
              <w:ind w:right="49"/>
              <w:rPr>
                <w:rFonts w:ascii="Times New Roman" w:hAnsi="Times New Roman" w:cs="Times New Roman"/>
                <w:b/>
                <w:bCs/>
                <w:sz w:val="20"/>
                <w:szCs w:val="20"/>
                <w:lang w:eastAsia="zh-CN"/>
              </w:rPr>
            </w:pPr>
          </w:p>
          <w:p w14:paraId="5C622A8C" w14:textId="77777777" w:rsidR="001F36E8" w:rsidRDefault="001F36E8"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3D0726CF" w14:textId="77777777" w:rsidR="001F36E8" w:rsidRPr="00DE12EF" w:rsidRDefault="001F36E8"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Pr>
                <w:rFonts w:ascii="Times New Roman" w:hAnsi="Times New Roman" w:cs="Times New Roman"/>
                <w:sz w:val="20"/>
                <w:szCs w:val="20"/>
                <w:u w:val="single"/>
                <w:lang w:eastAsia="zh-CN"/>
              </w:rPr>
              <w:t>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lang w:eastAsia="zh-CN"/>
              </w:rPr>
              <w:t>_______</w:t>
            </w:r>
          </w:p>
          <w:p w14:paraId="5668A6E5" w14:textId="77777777" w:rsidR="001F36E8" w:rsidRPr="00461D5B" w:rsidRDefault="001F36E8"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Енергетиків, 93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.___</w:t>
            </w:r>
          </w:p>
          <w:p w14:paraId="07D774EA" w14:textId="77777777" w:rsidR="001F36E8" w:rsidRDefault="001F36E8" w:rsidP="00887B1B">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9B23AF">
              <w:rPr>
                <w:rFonts w:ascii="Times New Roman" w:hAnsi="Times New Roman" w:cs="Times New Roman"/>
                <w:sz w:val="20"/>
                <w:szCs w:val="20"/>
                <w:lang w:eastAsia="zh-CN"/>
              </w:rPr>
              <w:t>___________________</w:t>
            </w:r>
          </w:p>
          <w:p w14:paraId="6FACE0B0" w14:textId="77777777" w:rsidR="001F36E8" w:rsidRPr="00987BAE" w:rsidRDefault="001F36E8"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______________________________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року</w:t>
            </w:r>
          </w:p>
          <w:p w14:paraId="5634BC2B" w14:textId="77777777" w:rsidR="001F36E8" w:rsidRDefault="001F36E8" w:rsidP="00887B1B">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Pr>
                <w:rFonts w:ascii="Times New Roman" w:hAnsi="Times New Roman" w:cs="Times New Roman"/>
                <w:b/>
                <w:bCs/>
                <w:sz w:val="20"/>
                <w:szCs w:val="20"/>
                <w:lang w:eastAsia="zh-CN"/>
              </w:rPr>
              <w:t>______________</w:t>
            </w:r>
            <w:r>
              <w:rPr>
                <w:rFonts w:ascii="Times New Roman" w:hAnsi="Times New Roman" w:cs="Times New Roman"/>
                <w:sz w:val="20"/>
                <w:szCs w:val="20"/>
                <w:lang w:eastAsia="zh-CN"/>
              </w:rPr>
              <w:t>/</w:t>
            </w:r>
          </w:p>
          <w:p w14:paraId="40239DC1" w14:textId="77777777" w:rsidR="001F36E8" w:rsidRDefault="001F36E8" w:rsidP="00887B1B">
            <w:pPr>
              <w:pStyle w:val="a4"/>
              <w:ind w:right="49"/>
              <w:rPr>
                <w:rFonts w:ascii="Times New Roman" w:hAnsi="Times New Roman" w:cs="Times New Roman"/>
                <w:sz w:val="20"/>
                <w:szCs w:val="20"/>
                <w:lang w:eastAsia="zh-CN"/>
              </w:rPr>
            </w:pPr>
          </w:p>
          <w:p w14:paraId="3167D0AD" w14:textId="77777777" w:rsidR="001F36E8" w:rsidRPr="00461D5B" w:rsidRDefault="001F36E8" w:rsidP="00887B1B">
            <w:pPr>
              <w:pStyle w:val="a4"/>
              <w:ind w:right="49"/>
              <w:rPr>
                <w:rFonts w:ascii="Times New Roman" w:hAnsi="Times New Roman" w:cs="Times New Roman"/>
                <w:b/>
                <w:bCs/>
                <w:sz w:val="20"/>
                <w:szCs w:val="20"/>
                <w:lang w:eastAsia="zh-CN"/>
              </w:rPr>
            </w:pPr>
          </w:p>
        </w:tc>
      </w:tr>
      <w:bookmarkEnd w:id="0"/>
      <w:bookmarkEnd w:id="1"/>
    </w:tbl>
    <w:p w14:paraId="587FB1F0" w14:textId="77777777" w:rsidR="001F36E8" w:rsidRDefault="001F36E8" w:rsidP="001F36E8">
      <w:pPr>
        <w:spacing w:after="0" w:line="240" w:lineRule="auto"/>
        <w:jc w:val="right"/>
        <w:rPr>
          <w:rFonts w:ascii="Times New Roman" w:eastAsiaTheme="minorHAnsi" w:hAnsi="Times New Roman"/>
        </w:rPr>
      </w:pPr>
    </w:p>
    <w:p w14:paraId="35DA1B08" w14:textId="77777777" w:rsidR="001F36E8" w:rsidRDefault="001F36E8" w:rsidP="001F36E8">
      <w:pPr>
        <w:spacing w:after="0" w:line="240" w:lineRule="auto"/>
        <w:jc w:val="right"/>
        <w:rPr>
          <w:rFonts w:ascii="Times New Roman" w:eastAsiaTheme="minorHAnsi" w:hAnsi="Times New Roman"/>
        </w:rPr>
      </w:pPr>
    </w:p>
    <w:p w14:paraId="0B4BC964" w14:textId="77777777" w:rsidR="001F36E8" w:rsidRDefault="001F36E8" w:rsidP="001F36E8">
      <w:pPr>
        <w:spacing w:after="0" w:line="240" w:lineRule="auto"/>
        <w:jc w:val="right"/>
        <w:rPr>
          <w:rFonts w:ascii="Times New Roman" w:eastAsiaTheme="minorHAnsi" w:hAnsi="Times New Roman"/>
        </w:rPr>
      </w:pPr>
    </w:p>
    <w:p w14:paraId="7579BFBE" w14:textId="77777777" w:rsidR="001F36E8" w:rsidRDefault="001F36E8" w:rsidP="001F36E8">
      <w:pPr>
        <w:spacing w:after="0" w:line="240" w:lineRule="auto"/>
        <w:jc w:val="right"/>
        <w:rPr>
          <w:rFonts w:ascii="Times New Roman" w:eastAsiaTheme="minorHAnsi" w:hAnsi="Times New Roman"/>
        </w:rPr>
      </w:pPr>
    </w:p>
    <w:p w14:paraId="5ABDC1A0" w14:textId="77777777" w:rsidR="001F36E8" w:rsidRDefault="001F36E8" w:rsidP="001F36E8">
      <w:pPr>
        <w:spacing w:after="0" w:line="240" w:lineRule="auto"/>
        <w:jc w:val="right"/>
        <w:rPr>
          <w:rFonts w:ascii="Times New Roman" w:eastAsiaTheme="minorHAnsi" w:hAnsi="Times New Roman"/>
        </w:rPr>
      </w:pPr>
    </w:p>
    <w:p w14:paraId="3CB9FCA7" w14:textId="77777777" w:rsidR="001F36E8" w:rsidRDefault="001F36E8" w:rsidP="001F36E8">
      <w:pPr>
        <w:spacing w:after="0" w:line="240" w:lineRule="auto"/>
        <w:jc w:val="right"/>
        <w:rPr>
          <w:rFonts w:ascii="Times New Roman" w:eastAsiaTheme="minorHAnsi" w:hAnsi="Times New Roman"/>
        </w:rPr>
      </w:pPr>
    </w:p>
    <w:p w14:paraId="461E713A" w14:textId="77777777" w:rsidR="001F36E8" w:rsidRDefault="001F36E8" w:rsidP="001F36E8">
      <w:pPr>
        <w:spacing w:after="0" w:line="240" w:lineRule="auto"/>
        <w:jc w:val="right"/>
        <w:rPr>
          <w:rFonts w:ascii="Times New Roman" w:eastAsiaTheme="minorHAnsi" w:hAnsi="Times New Roman"/>
        </w:rPr>
      </w:pPr>
    </w:p>
    <w:p w14:paraId="18EAA0C1" w14:textId="77777777" w:rsidR="001F36E8" w:rsidRDefault="001F36E8" w:rsidP="001F36E8">
      <w:pPr>
        <w:spacing w:after="0" w:line="240" w:lineRule="auto"/>
        <w:jc w:val="right"/>
        <w:rPr>
          <w:rFonts w:ascii="Times New Roman" w:eastAsiaTheme="minorHAnsi" w:hAnsi="Times New Roman"/>
        </w:rPr>
      </w:pPr>
    </w:p>
    <w:p w14:paraId="7C25C80D" w14:textId="77777777" w:rsidR="001F36E8" w:rsidRDefault="001F36E8" w:rsidP="001F36E8">
      <w:pPr>
        <w:spacing w:after="0" w:line="240" w:lineRule="auto"/>
        <w:jc w:val="right"/>
        <w:rPr>
          <w:rFonts w:ascii="Times New Roman" w:eastAsiaTheme="minorHAnsi" w:hAnsi="Times New Roman"/>
        </w:rPr>
      </w:pPr>
    </w:p>
    <w:p w14:paraId="5078A6EA" w14:textId="77777777" w:rsidR="001F36E8" w:rsidRDefault="001F36E8" w:rsidP="001F36E8">
      <w:pPr>
        <w:spacing w:after="0" w:line="240" w:lineRule="auto"/>
        <w:jc w:val="right"/>
        <w:rPr>
          <w:rFonts w:ascii="Times New Roman" w:eastAsiaTheme="minorHAnsi" w:hAnsi="Times New Roman"/>
        </w:rPr>
      </w:pPr>
    </w:p>
    <w:p w14:paraId="3FA83327" w14:textId="77777777" w:rsidR="001F36E8" w:rsidRDefault="001F36E8" w:rsidP="001F36E8">
      <w:pPr>
        <w:spacing w:after="0" w:line="240" w:lineRule="auto"/>
        <w:jc w:val="right"/>
        <w:rPr>
          <w:rFonts w:ascii="Times New Roman" w:eastAsiaTheme="minorHAnsi" w:hAnsi="Times New Roman"/>
        </w:rPr>
      </w:pPr>
    </w:p>
    <w:p w14:paraId="13FA1503" w14:textId="77777777" w:rsidR="001F36E8" w:rsidRPr="0026189C" w:rsidRDefault="001F36E8" w:rsidP="001F36E8">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7C04D9B2" w14:textId="6400190C" w:rsidR="001F36E8" w:rsidRPr="0026189C" w:rsidRDefault="001F36E8" w:rsidP="001F36E8">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Е-9</w:t>
      </w:r>
      <w:r>
        <w:rPr>
          <w:rFonts w:ascii="Times New Roman" w:eastAsiaTheme="minorHAnsi" w:hAnsi="Times New Roman"/>
        </w:rPr>
        <w:t>5</w:t>
      </w:r>
      <w:r>
        <w:rPr>
          <w:rFonts w:ascii="Times New Roman" w:eastAsiaTheme="minorHAnsi" w:hAnsi="Times New Roman"/>
        </w:rPr>
        <w:t>/23</w:t>
      </w:r>
    </w:p>
    <w:p w14:paraId="6120780D" w14:textId="77777777" w:rsidR="001F36E8" w:rsidRPr="0026189C" w:rsidRDefault="001F36E8" w:rsidP="001F36E8">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 xml:space="preserve">_________ </w:t>
      </w:r>
      <w:r w:rsidRPr="0026189C">
        <w:rPr>
          <w:rFonts w:ascii="Times New Roman" w:eastAsiaTheme="minorHAnsi" w:hAnsi="Times New Roman"/>
        </w:rPr>
        <w:t>202</w:t>
      </w:r>
      <w:r>
        <w:rPr>
          <w:rFonts w:ascii="Times New Roman" w:eastAsiaTheme="minorHAnsi" w:hAnsi="Times New Roman"/>
        </w:rPr>
        <w:t>3</w:t>
      </w:r>
      <w:r w:rsidRPr="0026189C">
        <w:rPr>
          <w:rFonts w:ascii="Times New Roman" w:eastAsiaTheme="minorHAnsi" w:hAnsi="Times New Roman"/>
        </w:rPr>
        <w:t xml:space="preserve">р.  </w:t>
      </w:r>
    </w:p>
    <w:p w14:paraId="35AA6443" w14:textId="77777777" w:rsidR="001F36E8" w:rsidRPr="0026189C" w:rsidRDefault="001F36E8" w:rsidP="001F36E8">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64D53A80" w14:textId="77777777" w:rsidR="001F36E8" w:rsidRPr="0026189C" w:rsidRDefault="001F36E8" w:rsidP="001F36E8">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438" w:type="dxa"/>
        <w:tblInd w:w="-567" w:type="dxa"/>
        <w:tblLook w:val="04A0" w:firstRow="1" w:lastRow="0" w:firstColumn="1" w:lastColumn="0" w:noHBand="0" w:noVBand="1"/>
      </w:tblPr>
      <w:tblGrid>
        <w:gridCol w:w="628"/>
        <w:gridCol w:w="3782"/>
        <w:gridCol w:w="127"/>
        <w:gridCol w:w="1558"/>
        <w:gridCol w:w="3138"/>
        <w:gridCol w:w="1205"/>
      </w:tblGrid>
      <w:tr w:rsidR="001F36E8" w:rsidRPr="0026189C" w14:paraId="763BC2B0" w14:textId="77777777" w:rsidTr="00887B1B">
        <w:trPr>
          <w:trHeight w:val="315"/>
        </w:trPr>
        <w:tc>
          <w:tcPr>
            <w:tcW w:w="628" w:type="dxa"/>
            <w:noWrap/>
            <w:vAlign w:val="center"/>
            <w:hideMark/>
          </w:tcPr>
          <w:p w14:paraId="63322A5F" w14:textId="77777777" w:rsidR="001F36E8" w:rsidRPr="0026189C" w:rsidRDefault="001F36E8" w:rsidP="00887B1B">
            <w:pPr>
              <w:rPr>
                <w:rFonts w:ascii="Times New Roman" w:eastAsiaTheme="minorHAnsi" w:hAnsi="Times New Roman"/>
                <w:b/>
                <w:bCs/>
              </w:rPr>
            </w:pPr>
          </w:p>
        </w:tc>
        <w:tc>
          <w:tcPr>
            <w:tcW w:w="5467" w:type="dxa"/>
            <w:gridSpan w:val="3"/>
            <w:noWrap/>
            <w:vAlign w:val="bottom"/>
            <w:hideMark/>
          </w:tcPr>
          <w:p w14:paraId="1690719B" w14:textId="77777777" w:rsidR="001F36E8" w:rsidRPr="0026189C" w:rsidRDefault="001F36E8" w:rsidP="00887B1B">
            <w:pPr>
              <w:rPr>
                <w:rFonts w:asciiTheme="minorHAnsi" w:eastAsiaTheme="minorHAnsi" w:hAnsiTheme="minorHAnsi" w:cstheme="minorBidi"/>
                <w:sz w:val="20"/>
                <w:szCs w:val="20"/>
                <w:lang w:val="ru-UA" w:eastAsia="ru-UA"/>
              </w:rPr>
            </w:pPr>
          </w:p>
        </w:tc>
        <w:tc>
          <w:tcPr>
            <w:tcW w:w="4343" w:type="dxa"/>
            <w:gridSpan w:val="2"/>
            <w:noWrap/>
            <w:vAlign w:val="bottom"/>
            <w:hideMark/>
          </w:tcPr>
          <w:p w14:paraId="3E62FAC9" w14:textId="77777777" w:rsidR="001F36E8" w:rsidRPr="0026189C" w:rsidRDefault="001F36E8" w:rsidP="00887B1B">
            <w:pPr>
              <w:rPr>
                <w:rFonts w:asciiTheme="minorHAnsi" w:eastAsiaTheme="minorHAnsi" w:hAnsiTheme="minorHAnsi" w:cstheme="minorBidi"/>
                <w:sz w:val="20"/>
                <w:szCs w:val="20"/>
                <w:lang w:val="ru-UA" w:eastAsia="ru-UA"/>
              </w:rPr>
            </w:pPr>
          </w:p>
        </w:tc>
      </w:tr>
      <w:tr w:rsidR="001F36E8" w:rsidRPr="0026189C" w14:paraId="3B1106DA" w14:textId="77777777" w:rsidTr="00887B1B">
        <w:trPr>
          <w:trHeight w:val="630"/>
        </w:trPr>
        <w:tc>
          <w:tcPr>
            <w:tcW w:w="628" w:type="dxa"/>
            <w:tcBorders>
              <w:top w:val="single" w:sz="4" w:space="0" w:color="auto"/>
              <w:left w:val="single" w:sz="4" w:space="0" w:color="auto"/>
              <w:bottom w:val="single" w:sz="4" w:space="0" w:color="auto"/>
              <w:right w:val="single" w:sz="4" w:space="0" w:color="auto"/>
            </w:tcBorders>
            <w:vAlign w:val="center"/>
            <w:hideMark/>
          </w:tcPr>
          <w:p w14:paraId="6DA8D9B0"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01B4299B" w14:textId="77777777" w:rsidR="001F36E8" w:rsidRPr="0026189C" w:rsidRDefault="001F36E8"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77ACCBBD"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1F36E8" w:rsidRPr="0026189C" w14:paraId="4308A25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740A70C"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265546A3"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3083956F"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1F36E8" w:rsidRPr="0026189C" w14:paraId="4550BB6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D487D02" w14:textId="77777777" w:rsidR="001F36E8" w:rsidRPr="0026189C" w:rsidRDefault="001F36E8" w:rsidP="00887B1B">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20F07F4F" w14:textId="77777777" w:rsidR="001F36E8" w:rsidRPr="0026189C" w:rsidRDefault="001F36E8" w:rsidP="00887B1B">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1F36E8" w:rsidRPr="0026189C" w14:paraId="0C5EA38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5329073"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3FDC556F" w14:textId="77777777" w:rsidR="001F36E8" w:rsidRPr="0026189C" w:rsidRDefault="001F36E8"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2C64C02"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1F36E8" w:rsidRPr="0026189C" w14:paraId="0525BE7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5B4FBE5"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B3035FB"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7393B8CE"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1F36E8" w:rsidRPr="0026189C" w14:paraId="2F79F16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409CF8D"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76C1DA7"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69BA69CE"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7E6025F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42E0581"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4961BF4"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2DBB1D4F"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1694A4F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99DF68F"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C08A6D6"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02F54640"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32E4D79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F88AB63"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923CCC9"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0D73EA01"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562F564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02EC027"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C8E4FEA" w14:textId="77777777" w:rsidR="001F36E8" w:rsidRPr="0026189C" w:rsidRDefault="001F36E8" w:rsidP="00887B1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2A9CA33E"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1A29FB68"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10D5940"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2825D154" w14:textId="77777777" w:rsidR="001F36E8" w:rsidRPr="0026189C" w:rsidRDefault="001F36E8"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DDC5EB4"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1F36E8" w:rsidRPr="0026189C" w14:paraId="6CF7EAA4"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579E7A5B"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75C8CA06"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32FB47A2"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1F36E8" w:rsidRPr="0026189C" w14:paraId="606709E8"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DF178C8"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3B37D61"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07DDBB4C"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F36E8" w:rsidRPr="0026189C" w14:paraId="77AE087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BF3E511"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6A7AA93"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6947845E"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F36E8" w:rsidRPr="0026189C" w14:paraId="0C6659D8"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A881399"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64C85A"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1266CA2A"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F36E8" w:rsidRPr="0026189C" w14:paraId="5ECB0D4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D91755E"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0507AB0"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A7FAAE0"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F36E8" w:rsidRPr="0026189C" w14:paraId="261EF66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EC9DFBF"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19972A3"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46CF9F4C"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5081362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CDFDEC8"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7260D2"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55F91AAD"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1F36E8" w:rsidRPr="0026189C" w14:paraId="6445CBD6"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806CE03"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0819EEC8" w14:textId="77777777" w:rsidR="001F36E8" w:rsidRPr="0026189C" w:rsidRDefault="001F36E8"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65EA3024"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1F36E8" w:rsidRPr="0026189C" w14:paraId="5FFD65F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4A9CD1F"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12F0C2E"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64F32C75"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1F36E8" w:rsidRPr="0026189C" w14:paraId="4A398C2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73E5A74"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E20C8D1"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5AC4C800"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1F36E8" w:rsidRPr="0026189C" w14:paraId="3D98E926"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CC394EF"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6354E99"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1614F8C9"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1F36E8" w:rsidRPr="0026189C" w14:paraId="7095B4B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E351E23"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6D1FB8F"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00AC646F"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1F36E8" w:rsidRPr="0026189C" w14:paraId="380BF11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A439C44"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ECEA768"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68F91E4A"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4E2B2C9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D2D1B5B"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67F52A5"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5D923C96"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1F36E8" w:rsidRPr="0026189C" w14:paraId="37B5DF9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95B9957"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A1686AD"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4D39A683"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1E8208B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7502C5A"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9C259E1"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6FFED6C4" w14:textId="77777777" w:rsidR="001F36E8" w:rsidRPr="0026189C" w:rsidRDefault="001F36E8" w:rsidP="00887B1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1F36E8" w:rsidRPr="0026189C" w14:paraId="614D06C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D959438"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E642193"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126900B6"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562C4CB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309F721"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05A89FA"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7C6BFF41"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F36E8" w:rsidRPr="0026189C" w14:paraId="0314096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C88A654"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2161E326" w14:textId="77777777" w:rsidR="001F36E8" w:rsidRPr="0026189C" w:rsidRDefault="001F36E8"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353DB62" w14:textId="77777777" w:rsidR="001F36E8" w:rsidRPr="0026189C" w:rsidRDefault="001F36E8" w:rsidP="00887B1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1F36E8" w:rsidRPr="0026189C" w14:paraId="675B193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2B8B2B8"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2AD0693"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72E21C0D" w14:textId="77777777" w:rsidR="001F36E8" w:rsidRPr="0026189C" w:rsidRDefault="001F36E8" w:rsidP="00887B1B">
            <w:pPr>
              <w:rPr>
                <w:rFonts w:ascii="Times New Roman" w:hAnsi="Times New Roman"/>
                <w:color w:val="000000"/>
                <w:lang w:val="ru-UA" w:eastAsia="ru-UA"/>
              </w:rPr>
            </w:pPr>
          </w:p>
        </w:tc>
      </w:tr>
      <w:tr w:rsidR="001F36E8" w:rsidRPr="0026189C" w14:paraId="42D64958"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2CE3C5AD"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39233E23"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181398B6" w14:textId="77777777" w:rsidR="001F36E8" w:rsidRPr="0026189C" w:rsidRDefault="001F36E8" w:rsidP="00887B1B">
            <w:pPr>
              <w:rPr>
                <w:rFonts w:ascii="Times New Roman" w:hAnsi="Times New Roman"/>
                <w:color w:val="000000"/>
                <w:lang w:val="ru-UA" w:eastAsia="ru-UA"/>
              </w:rPr>
            </w:pPr>
          </w:p>
        </w:tc>
      </w:tr>
      <w:tr w:rsidR="001F36E8" w:rsidRPr="0026189C" w14:paraId="5351A3D6"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31C89CE5"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7837D48E"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10E243D9" w14:textId="77777777" w:rsidR="001F36E8" w:rsidRPr="0026189C" w:rsidRDefault="001F36E8" w:rsidP="00887B1B">
            <w:pPr>
              <w:rPr>
                <w:rFonts w:ascii="Times New Roman" w:hAnsi="Times New Roman"/>
                <w:color w:val="000000"/>
                <w:lang w:val="ru-UA" w:eastAsia="ru-UA"/>
              </w:rPr>
            </w:pPr>
          </w:p>
        </w:tc>
      </w:tr>
      <w:tr w:rsidR="001F36E8" w:rsidRPr="0026189C" w14:paraId="081C7A4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E0737EF"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lastRenderedPageBreak/>
              <w:t>2</w:t>
            </w:r>
          </w:p>
        </w:tc>
        <w:tc>
          <w:tcPr>
            <w:tcW w:w="5467" w:type="dxa"/>
            <w:gridSpan w:val="3"/>
            <w:tcBorders>
              <w:top w:val="nil"/>
              <w:left w:val="nil"/>
              <w:bottom w:val="single" w:sz="4" w:space="0" w:color="auto"/>
              <w:right w:val="single" w:sz="4" w:space="0" w:color="auto"/>
            </w:tcBorders>
            <w:noWrap/>
            <w:vAlign w:val="bottom"/>
            <w:hideMark/>
          </w:tcPr>
          <w:p w14:paraId="75F9BAF1" w14:textId="77777777" w:rsidR="001F36E8" w:rsidRPr="0026189C" w:rsidRDefault="001F36E8" w:rsidP="00887B1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088597C8"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F36E8" w:rsidRPr="0026189C" w14:paraId="6B2C9BFC" w14:textId="77777777" w:rsidTr="00887B1B">
        <w:trPr>
          <w:trHeight w:val="1815"/>
        </w:trPr>
        <w:tc>
          <w:tcPr>
            <w:tcW w:w="628" w:type="dxa"/>
            <w:tcBorders>
              <w:top w:val="nil"/>
              <w:left w:val="single" w:sz="4" w:space="0" w:color="auto"/>
              <w:bottom w:val="single" w:sz="4" w:space="0" w:color="auto"/>
              <w:right w:val="single" w:sz="4" w:space="0" w:color="auto"/>
            </w:tcBorders>
            <w:noWrap/>
            <w:vAlign w:val="center"/>
            <w:hideMark/>
          </w:tcPr>
          <w:p w14:paraId="478A8B44"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290D9B60"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0A0E8C64" w14:textId="77777777" w:rsidR="001F36E8" w:rsidRPr="0026189C" w:rsidRDefault="001F36E8" w:rsidP="00887B1B">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1F36E8" w:rsidRPr="0026189C" w14:paraId="30F4DF5D"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29691393"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3F20C026"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66785229"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1F36E8" w:rsidRPr="0026189C" w14:paraId="2EC2A48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D29BEEA"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058DDF78"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1F36E8" w:rsidRPr="0026189C" w14:paraId="6E74A79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C2DE59E"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7CEC8CD"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22FA1141" w14:textId="77777777" w:rsidR="001F36E8" w:rsidRPr="0026189C" w:rsidRDefault="001F36E8" w:rsidP="00887B1B">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1F36E8" w:rsidRPr="0026189C" w14:paraId="6795E23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C4EB99B"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333301F"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1DC9F3AC"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1F36E8" w:rsidRPr="0026189C" w14:paraId="1AF2393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C14B59D"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188537A"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25F74A83"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1F36E8" w:rsidRPr="0026189C" w14:paraId="5713804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98AB519"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952550D"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2695ACD0"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1F36E8" w:rsidRPr="0026189C" w14:paraId="3544C64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22D0008"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366FD63"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11138793"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1F36E8" w:rsidRPr="0026189C" w14:paraId="2EDB973C" w14:textId="77777777" w:rsidTr="00887B1B">
        <w:trPr>
          <w:trHeight w:val="915"/>
        </w:trPr>
        <w:tc>
          <w:tcPr>
            <w:tcW w:w="628" w:type="dxa"/>
            <w:tcBorders>
              <w:top w:val="nil"/>
              <w:left w:val="single" w:sz="4" w:space="0" w:color="auto"/>
              <w:bottom w:val="single" w:sz="4" w:space="0" w:color="auto"/>
              <w:right w:val="single" w:sz="4" w:space="0" w:color="auto"/>
            </w:tcBorders>
            <w:noWrap/>
            <w:vAlign w:val="center"/>
            <w:hideMark/>
          </w:tcPr>
          <w:p w14:paraId="2A7679C4" w14:textId="77777777" w:rsidR="001F36E8" w:rsidRPr="0026189C" w:rsidRDefault="001F36E8"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1E2A18FD"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500D7202" w14:textId="77777777" w:rsidR="001F36E8" w:rsidRPr="0026189C" w:rsidRDefault="001F36E8" w:rsidP="00887B1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1F36E8" w:rsidRPr="0026189C" w14:paraId="794A8BE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945B0D7"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19DEBFE"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273387A"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6016558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BE689EB"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645C43B"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0D85C655"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054AAE7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3DB69FD" w14:textId="77777777" w:rsidR="001F36E8" w:rsidRPr="0026189C" w:rsidRDefault="001F36E8"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37E023A"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34283374" w14:textId="77777777" w:rsidR="001F36E8" w:rsidRPr="0026189C" w:rsidRDefault="001F36E8"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F36E8" w:rsidRPr="0026189C" w14:paraId="5389F78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D134C4B" w14:textId="77777777" w:rsidR="001F36E8" w:rsidRPr="0026189C" w:rsidRDefault="001F36E8"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08629CE9"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4A2A4AF2"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1F36E8" w:rsidRPr="0026189C" w14:paraId="716B178C" w14:textId="77777777" w:rsidTr="00887B1B">
        <w:trPr>
          <w:trHeight w:val="1215"/>
        </w:trPr>
        <w:tc>
          <w:tcPr>
            <w:tcW w:w="628" w:type="dxa"/>
            <w:tcBorders>
              <w:top w:val="nil"/>
              <w:left w:val="single" w:sz="4" w:space="0" w:color="auto"/>
              <w:bottom w:val="single" w:sz="4" w:space="0" w:color="auto"/>
              <w:right w:val="single" w:sz="4" w:space="0" w:color="auto"/>
            </w:tcBorders>
            <w:noWrap/>
            <w:vAlign w:val="center"/>
            <w:hideMark/>
          </w:tcPr>
          <w:p w14:paraId="6EE92F02" w14:textId="77777777" w:rsidR="001F36E8" w:rsidRPr="0026189C" w:rsidRDefault="001F36E8"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02BD5871"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34F68C24" w14:textId="77777777" w:rsidR="001F36E8" w:rsidRPr="0026189C" w:rsidRDefault="001F36E8"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1F36E8" w:rsidRPr="0026189C" w14:paraId="62267AF1" w14:textId="77777777" w:rsidTr="00887B1B">
        <w:tblPrEx>
          <w:tblCellMar>
            <w:top w:w="55" w:type="dxa"/>
            <w:left w:w="55" w:type="dxa"/>
            <w:bottom w:w="55" w:type="dxa"/>
            <w:right w:w="55" w:type="dxa"/>
          </w:tblCellMar>
        </w:tblPrEx>
        <w:trPr>
          <w:gridAfter w:val="1"/>
          <w:wAfter w:w="1205" w:type="dxa"/>
          <w:trHeight w:val="70"/>
        </w:trPr>
        <w:tc>
          <w:tcPr>
            <w:tcW w:w="4410" w:type="dxa"/>
            <w:gridSpan w:val="2"/>
            <w:tcMar>
              <w:top w:w="0" w:type="dxa"/>
              <w:left w:w="0" w:type="dxa"/>
              <w:bottom w:w="0" w:type="dxa"/>
              <w:right w:w="0" w:type="dxa"/>
            </w:tcMar>
            <w:hideMark/>
          </w:tcPr>
          <w:p w14:paraId="347337DE" w14:textId="77777777" w:rsidR="001F36E8" w:rsidRDefault="001F36E8" w:rsidP="00887B1B">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410"/>
            </w:tblGrid>
            <w:tr w:rsidR="001F36E8" w14:paraId="35A8F190" w14:textId="77777777" w:rsidTr="00887B1B">
              <w:tc>
                <w:tcPr>
                  <w:tcW w:w="4542" w:type="dxa"/>
                  <w:tcBorders>
                    <w:top w:val="nil"/>
                    <w:left w:val="nil"/>
                    <w:bottom w:val="nil"/>
                    <w:right w:val="nil"/>
                  </w:tcBorders>
                </w:tcPr>
                <w:p w14:paraId="4333099A" w14:textId="77777777" w:rsidR="001F36E8" w:rsidRDefault="001F36E8"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18043D80" w14:textId="77777777" w:rsidR="001F36E8" w:rsidRPr="0026189C" w:rsidRDefault="001F36E8" w:rsidP="00887B1B">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75B82832" w14:textId="77777777" w:rsidR="001F36E8" w:rsidRPr="0026189C" w:rsidRDefault="001F36E8" w:rsidP="00887B1B">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34EAF80E" w14:textId="77777777" w:rsidR="001F36E8" w:rsidRPr="0026189C" w:rsidRDefault="001F36E8"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353B0E86" w14:textId="77777777" w:rsidR="001F36E8" w:rsidRDefault="001F36E8"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2D47F4B6" w14:textId="77777777" w:rsidR="001F36E8" w:rsidRDefault="001F36E8"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3C83A3F6" w14:textId="77777777" w:rsidR="001F36E8" w:rsidRPr="0026189C" w:rsidRDefault="001F36E8" w:rsidP="00887B1B">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2135F6E6" w14:textId="77777777" w:rsidR="001F36E8" w:rsidRPr="0026189C" w:rsidRDefault="001F36E8" w:rsidP="00887B1B">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2E4DA9ED" w14:textId="77777777" w:rsidR="001F36E8" w:rsidRDefault="001F36E8" w:rsidP="00887B1B"/>
          <w:tbl>
            <w:tblPr>
              <w:tblStyle w:val="a5"/>
              <w:tblW w:w="0" w:type="auto"/>
              <w:tblLook w:val="04A0" w:firstRow="1" w:lastRow="0" w:firstColumn="1" w:lastColumn="0" w:noHBand="0" w:noVBand="1"/>
            </w:tblPr>
            <w:tblGrid>
              <w:gridCol w:w="4069"/>
            </w:tblGrid>
            <w:tr w:rsidR="001F36E8" w14:paraId="7E954D35" w14:textId="77777777" w:rsidTr="00887B1B">
              <w:tc>
                <w:tcPr>
                  <w:tcW w:w="4069" w:type="dxa"/>
                  <w:tcBorders>
                    <w:top w:val="nil"/>
                    <w:left w:val="nil"/>
                    <w:bottom w:val="nil"/>
                    <w:right w:val="nil"/>
                  </w:tcBorders>
                </w:tcPr>
                <w:p w14:paraId="747CB0CD" w14:textId="77777777" w:rsidR="001F36E8" w:rsidRDefault="001F36E8"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6E97A227" w14:textId="77777777" w:rsidR="001F36E8" w:rsidRPr="00AD5555" w:rsidRDefault="001F36E8" w:rsidP="00887B1B">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Pr>
                      <w:rFonts w:ascii="Times New Roman" w:hAnsi="Times New Roman" w:cs="Times New Roman"/>
                      <w:u w:val="single"/>
                      <w:lang w:eastAsia="zh-CN"/>
                    </w:rPr>
                    <w:t>________________</w:t>
                  </w:r>
                  <w:r>
                    <w:rPr>
                      <w:rFonts w:ascii="Times New Roman" w:hAnsi="Times New Roman" w:cs="Times New Roman"/>
                      <w:lang w:eastAsia="zh-CN"/>
                    </w:rPr>
                    <w:t>___</w:t>
                  </w:r>
                </w:p>
                <w:p w14:paraId="4A34B1C5" w14:textId="77777777" w:rsidR="001F36E8" w:rsidRDefault="001F36E8" w:rsidP="00887B1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6294B94B" w14:textId="77777777" w:rsidR="001F36E8" w:rsidRDefault="001F36E8" w:rsidP="00887B1B">
                  <w:pPr>
                    <w:pStyle w:val="a4"/>
                    <w:rPr>
                      <w:rFonts w:ascii="Times New Roman" w:hAnsi="Times New Roman"/>
                      <w:sz w:val="24"/>
                      <w:szCs w:val="24"/>
                      <w:lang w:eastAsia="zh-CN"/>
                    </w:rPr>
                  </w:pPr>
                </w:p>
              </w:tc>
            </w:tr>
          </w:tbl>
          <w:p w14:paraId="40BFD7B9" w14:textId="77777777" w:rsidR="001F36E8" w:rsidRDefault="001F36E8"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1AC3BC96" w14:textId="77777777" w:rsidR="001F36E8" w:rsidRPr="0026189C" w:rsidRDefault="001F36E8" w:rsidP="00887B1B">
            <w:pPr>
              <w:shd w:val="clear" w:color="auto" w:fill="FFFFFF"/>
              <w:suppressAutoHyphens/>
              <w:spacing w:after="150"/>
              <w:jc w:val="both"/>
              <w:rPr>
                <w:rFonts w:ascii="Times New Roman" w:eastAsiaTheme="minorHAnsi" w:hAnsi="Times New Roman" w:cstheme="minorBidi"/>
                <w:sz w:val="24"/>
                <w:szCs w:val="24"/>
                <w:lang w:eastAsia="zh-CN"/>
              </w:rPr>
            </w:pPr>
          </w:p>
        </w:tc>
      </w:tr>
    </w:tbl>
    <w:p w14:paraId="79474F15" w14:textId="77777777" w:rsidR="001F36E8" w:rsidRDefault="001F36E8" w:rsidP="001F36E8"/>
    <w:p w14:paraId="3FB1C92C" w14:textId="77777777" w:rsidR="001F36E8" w:rsidRDefault="001F36E8" w:rsidP="001F36E8"/>
    <w:p w14:paraId="227F703B" w14:textId="77777777" w:rsidR="001F36E8" w:rsidRDefault="001F36E8" w:rsidP="001F36E8"/>
    <w:p w14:paraId="20036DC0" w14:textId="77777777" w:rsidR="001F36E8" w:rsidRDefault="001F36E8" w:rsidP="001F36E8"/>
    <w:p w14:paraId="1FDE3A61" w14:textId="77777777" w:rsidR="001F36E8" w:rsidRDefault="001F36E8" w:rsidP="001F36E8"/>
    <w:p w14:paraId="5F7B6386" w14:textId="77777777" w:rsidR="001F36E8" w:rsidRDefault="001F36E8" w:rsidP="001F36E8"/>
    <w:p w14:paraId="49D2896A" w14:textId="77777777" w:rsidR="001F36E8" w:rsidRDefault="001F36E8" w:rsidP="001F36E8"/>
    <w:p w14:paraId="00390602" w14:textId="169627F6" w:rsidR="00DA40E0" w:rsidRDefault="001F36E8">
      <w:r w:rsidRPr="001F36E8">
        <w:lastRenderedPageBreak/>
        <w:drawing>
          <wp:inline distT="0" distB="0" distL="0" distR="0" wp14:anchorId="1F71B5D2" wp14:editId="68F52330">
            <wp:extent cx="5854700" cy="9427845"/>
            <wp:effectExtent l="0" t="0" r="0" b="1905"/>
            <wp:docPr id="18323350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54700" cy="9427845"/>
                    </a:xfrm>
                    <a:prstGeom prst="rect">
                      <a:avLst/>
                    </a:prstGeom>
                    <a:noFill/>
                    <a:ln>
                      <a:noFill/>
                    </a:ln>
                  </pic:spPr>
                </pic:pic>
              </a:graphicData>
            </a:graphic>
          </wp:inline>
        </w:drawing>
      </w:r>
    </w:p>
    <w:sectPr w:rsidR="00DA40E0" w:rsidSect="001F36E8">
      <w:pgSz w:w="12240" w:h="15840"/>
      <w:pgMar w:top="426"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50269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6E8"/>
    <w:rsid w:val="000215EE"/>
    <w:rsid w:val="001F36E8"/>
    <w:rsid w:val="00947818"/>
    <w:rsid w:val="009A07A9"/>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5E4"/>
  <w15:chartTrackingRefBased/>
  <w15:docId w15:val="{3244BD22-564B-430E-A683-7126128D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6E8"/>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36E8"/>
    <w:rPr>
      <w:color w:val="0000FF"/>
      <w:u w:val="single"/>
    </w:rPr>
  </w:style>
  <w:style w:type="character" w:customStyle="1" w:styleId="rvts0">
    <w:name w:val="rvts0"/>
    <w:basedOn w:val="a0"/>
    <w:rsid w:val="001F36E8"/>
  </w:style>
  <w:style w:type="paragraph" w:styleId="a4">
    <w:name w:val="No Spacing"/>
    <w:uiPriority w:val="1"/>
    <w:qFormat/>
    <w:rsid w:val="001F36E8"/>
    <w:pPr>
      <w:spacing w:after="0" w:line="240" w:lineRule="auto"/>
    </w:pPr>
    <w:rPr>
      <w:kern w:val="0"/>
      <w:lang w:val="uk-UA"/>
      <w14:ligatures w14:val="none"/>
    </w:rPr>
  </w:style>
  <w:style w:type="character" w:customStyle="1" w:styleId="st42">
    <w:name w:val="st42"/>
    <w:uiPriority w:val="99"/>
    <w:rsid w:val="001F36E8"/>
    <w:rPr>
      <w:color w:val="000000"/>
    </w:rPr>
  </w:style>
  <w:style w:type="table" w:styleId="a5">
    <w:name w:val="Table Grid"/>
    <w:basedOn w:val="a1"/>
    <w:uiPriority w:val="39"/>
    <w:rsid w:val="001F36E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21743</Words>
  <Characters>12394</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cp:lastPrinted>2023-10-06T10:01:00Z</cp:lastPrinted>
  <dcterms:created xsi:type="dcterms:W3CDTF">2023-10-06T09:49:00Z</dcterms:created>
  <dcterms:modified xsi:type="dcterms:W3CDTF">2023-10-06T10:02:00Z</dcterms:modified>
</cp:coreProperties>
</file>